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74" w:rsidRDefault="00034A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Title"/>
        <w:jc w:val="center"/>
      </w:pPr>
      <w:r>
        <w:t>ПРАВИТЕЛЬСТВО КАБАРДИНО-БАЛКАРСКОЙ РЕСПУБЛИКИ</w:t>
      </w:r>
    </w:p>
    <w:p w:rsidR="00034A74" w:rsidRDefault="00034A74">
      <w:pPr>
        <w:pStyle w:val="ConsPlusTitle"/>
        <w:jc w:val="center"/>
      </w:pPr>
    </w:p>
    <w:p w:rsidR="00034A74" w:rsidRDefault="00034A74">
      <w:pPr>
        <w:pStyle w:val="ConsPlusTitle"/>
        <w:jc w:val="center"/>
      </w:pPr>
      <w:r>
        <w:t>РАСПОРЯЖЕНИЕ</w:t>
      </w:r>
    </w:p>
    <w:p w:rsidR="00034A74" w:rsidRDefault="00034A74">
      <w:pPr>
        <w:pStyle w:val="ConsPlusTitle"/>
        <w:jc w:val="center"/>
      </w:pPr>
      <w:r>
        <w:t>от 1 марта 2013 г. N 135-рп</w:t>
      </w:r>
    </w:p>
    <w:p w:rsidR="00034A74" w:rsidRDefault="00034A74">
      <w:pPr>
        <w:pStyle w:val="ConsPlusNormal"/>
        <w:jc w:val="center"/>
      </w:pPr>
      <w:r>
        <w:t>Список изменяющих документов</w:t>
      </w:r>
    </w:p>
    <w:p w:rsidR="00034A74" w:rsidRDefault="00034A74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Правительства КБР</w:t>
      </w:r>
      <w:proofErr w:type="gramEnd"/>
    </w:p>
    <w:p w:rsidR="00034A74" w:rsidRDefault="00034A74">
      <w:pPr>
        <w:pStyle w:val="ConsPlusNormal"/>
        <w:jc w:val="center"/>
      </w:pPr>
      <w:r>
        <w:t>от 04.07.2014 N 428-рп)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7" w:history="1">
        <w:r>
          <w:rPr>
            <w:color w:val="0000FF"/>
          </w:rPr>
          <w:t>План</w:t>
        </w:r>
      </w:hyperlink>
      <w:r>
        <w:t xml:space="preserve"> мероприятий ("дорожную карту") "Изменения в отраслях социальной сферы, направленные на повышение эффективности здравоохранения в Кабардино-Балкарской Республике" (далее - план).</w:t>
      </w:r>
    </w:p>
    <w:p w:rsidR="00034A74" w:rsidRDefault="00034A74">
      <w:pPr>
        <w:pStyle w:val="ConsPlusNormal"/>
        <w:ind w:firstLine="540"/>
        <w:jc w:val="both"/>
      </w:pPr>
      <w:r>
        <w:t xml:space="preserve">2. Министерству здравоохранения и курортов Кабардино-Балкарской Республики до 1 октября 2013 года обеспечить мониторинг реализации </w:t>
      </w:r>
      <w:hyperlink w:anchor="P27" w:history="1">
        <w:r>
          <w:rPr>
            <w:color w:val="0000FF"/>
          </w:rPr>
          <w:t>плана</w:t>
        </w:r>
      </w:hyperlink>
      <w:r>
        <w:t>.</w:t>
      </w:r>
    </w:p>
    <w:p w:rsidR="00034A74" w:rsidRDefault="00034A74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первого заместителя Председателя Правительства Кабардино-Балкарской Республики И.Е. Марьяш.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right"/>
      </w:pPr>
      <w:r>
        <w:t>И.о. Председателя Правительства</w:t>
      </w:r>
    </w:p>
    <w:p w:rsidR="00034A74" w:rsidRDefault="00034A74">
      <w:pPr>
        <w:pStyle w:val="ConsPlusNormal"/>
        <w:jc w:val="right"/>
      </w:pPr>
      <w:r>
        <w:t>Кабардино-Балкарской Республики</w:t>
      </w:r>
    </w:p>
    <w:p w:rsidR="00034A74" w:rsidRDefault="00034A74">
      <w:pPr>
        <w:pStyle w:val="ConsPlusNormal"/>
        <w:jc w:val="right"/>
      </w:pPr>
      <w:r>
        <w:t>И.МАРЬЯШ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right"/>
      </w:pPr>
      <w:r>
        <w:t>Утвержден</w:t>
      </w:r>
    </w:p>
    <w:p w:rsidR="00034A74" w:rsidRDefault="00034A74">
      <w:pPr>
        <w:pStyle w:val="ConsPlusNormal"/>
        <w:jc w:val="right"/>
      </w:pPr>
      <w:r>
        <w:t>Распоряжением</w:t>
      </w:r>
    </w:p>
    <w:p w:rsidR="00034A74" w:rsidRDefault="00034A74">
      <w:pPr>
        <w:pStyle w:val="ConsPlusNormal"/>
        <w:jc w:val="right"/>
      </w:pPr>
      <w:r>
        <w:t>Правительства</w:t>
      </w:r>
    </w:p>
    <w:p w:rsidR="00034A74" w:rsidRDefault="00034A74">
      <w:pPr>
        <w:pStyle w:val="ConsPlusNormal"/>
        <w:jc w:val="right"/>
      </w:pPr>
      <w:r>
        <w:t>Кабардино-Балкарской Республики</w:t>
      </w:r>
    </w:p>
    <w:p w:rsidR="00034A74" w:rsidRDefault="00034A74">
      <w:pPr>
        <w:pStyle w:val="ConsPlusNormal"/>
        <w:jc w:val="right"/>
      </w:pPr>
      <w:r>
        <w:t>от 1 марта 2013 г. N 135-рп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Title"/>
        <w:jc w:val="center"/>
      </w:pPr>
      <w:bookmarkStart w:id="0" w:name="P27"/>
      <w:bookmarkEnd w:id="0"/>
      <w:r>
        <w:t>ПЛАН</w:t>
      </w:r>
    </w:p>
    <w:p w:rsidR="00034A74" w:rsidRDefault="00034A74">
      <w:pPr>
        <w:pStyle w:val="ConsPlusTitle"/>
        <w:jc w:val="center"/>
      </w:pPr>
      <w:r>
        <w:t>МЕРОПРИЯТИЙ ("ДОРОЖНАЯ КАРТА")</w:t>
      </w:r>
    </w:p>
    <w:p w:rsidR="00034A74" w:rsidRDefault="00034A74">
      <w:pPr>
        <w:pStyle w:val="ConsPlusTitle"/>
        <w:jc w:val="center"/>
      </w:pPr>
      <w:r>
        <w:t>"ИЗМЕНЕНИЯ В ОТРАСЛЯХ СОЦИАЛЬНОЙ СФЕРЫ,</w:t>
      </w:r>
    </w:p>
    <w:p w:rsidR="00034A74" w:rsidRDefault="00034A74">
      <w:pPr>
        <w:pStyle w:val="ConsPlusTitle"/>
        <w:jc w:val="center"/>
      </w:pPr>
      <w:r>
        <w:t>НАПРАВЛЕННЫЕ НА ПОВЫШЕНИЕ ЭФФЕКТИВНОСТИ</w:t>
      </w:r>
    </w:p>
    <w:p w:rsidR="00034A74" w:rsidRDefault="00034A74">
      <w:pPr>
        <w:pStyle w:val="ConsPlusTitle"/>
        <w:jc w:val="center"/>
      </w:pPr>
      <w:r>
        <w:t>ЗДРАВООХРАНЕНИЯ В КАБАРДИНО-БАЛКАРСКОЙ РЕСПУБЛИКЕ"</w:t>
      </w:r>
    </w:p>
    <w:p w:rsidR="00034A74" w:rsidRDefault="00034A74">
      <w:pPr>
        <w:pStyle w:val="ConsPlusNormal"/>
        <w:jc w:val="center"/>
      </w:pPr>
      <w:r>
        <w:t>Список изменяющих документов</w:t>
      </w:r>
    </w:p>
    <w:p w:rsidR="00034A74" w:rsidRDefault="00034A74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КБР</w:t>
      </w:r>
      <w:proofErr w:type="gramEnd"/>
    </w:p>
    <w:p w:rsidR="00034A74" w:rsidRDefault="00034A74">
      <w:pPr>
        <w:pStyle w:val="ConsPlusNormal"/>
        <w:jc w:val="center"/>
      </w:pPr>
      <w:r>
        <w:t>от 04.07.2014 N 428-рп)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center"/>
      </w:pPr>
      <w:r>
        <w:t>I. Общее описание "дорожной карты"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ind w:firstLine="540"/>
        <w:jc w:val="both"/>
      </w:pPr>
      <w:r>
        <w:t>Целью "дорожной карты" "Изменения в отраслях социальной сферы, направленные на повышение эффективности здравоохранения в Кабардино-Балкарской Республике" (далее - "дорожная карта") является повышение качества оказания медицинской помощи на основе повышения эффективности деятельности медицинских организаций и их работников, стимулирование заинтересованности работников в результатах своего труда путем повышения заработной платы.</w:t>
      </w:r>
    </w:p>
    <w:p w:rsidR="00034A74" w:rsidRDefault="00034A74">
      <w:pPr>
        <w:pStyle w:val="ConsPlusNormal"/>
        <w:ind w:firstLine="540"/>
        <w:jc w:val="both"/>
      </w:pPr>
      <w:r>
        <w:t xml:space="preserve">Площадь Кабардино-Балкарской Республики составляет 12,47 тыс. квадратных километров. Республиканский центр - городской округ Нальчик с населением 239,3 тыс. чел. В республике проживает свыше 859 тысяч человек, в том числе дети от 0 до 17 лет - 201174, старше трудоспособного возраста 143311, трудоспособного возраста - 514578, что составляет 59,9 </w:t>
      </w:r>
      <w:r>
        <w:lastRenderedPageBreak/>
        <w:t>процента от общего населения.</w:t>
      </w:r>
    </w:p>
    <w:p w:rsidR="00034A74" w:rsidRDefault="00034A74">
      <w:pPr>
        <w:pStyle w:val="ConsPlusNormal"/>
        <w:ind w:firstLine="540"/>
        <w:jc w:val="both"/>
      </w:pPr>
      <w:r>
        <w:t>Плотность населения - 72 человека на один кв. км.</w:t>
      </w:r>
    </w:p>
    <w:p w:rsidR="00034A74" w:rsidRDefault="00034A74">
      <w:pPr>
        <w:pStyle w:val="ConsPlusNormal"/>
        <w:ind w:firstLine="540"/>
        <w:jc w:val="both"/>
      </w:pPr>
      <w:r>
        <w:t>Естественный прирост населения в 2012 году составил 7,0, в 2011 году - 5,6 на 1000 населения (в Российской Федерации убыль населения составляет 0,9).</w:t>
      </w:r>
    </w:p>
    <w:p w:rsidR="00034A74" w:rsidRDefault="00034A74">
      <w:pPr>
        <w:pStyle w:val="ConsPlusNormal"/>
        <w:ind w:firstLine="540"/>
        <w:jc w:val="both"/>
      </w:pPr>
      <w:r>
        <w:t>В 2012 году родился 13721 ребенок, что на 795 детей больше чем в 2011 году. Показатель рождаемости, по итогам 2012 года, увеличился на 6 процентов и составил 15,9 на 1000 населения против 15 процентов в 2011 году.</w:t>
      </w:r>
    </w:p>
    <w:p w:rsidR="00034A74" w:rsidRDefault="00034A74">
      <w:pPr>
        <w:pStyle w:val="ConsPlusNormal"/>
        <w:ind w:firstLine="540"/>
        <w:jc w:val="both"/>
      </w:pPr>
      <w:r>
        <w:t>Показатель общей смертности в 2012 году снизился на 5,3 процента и составил 8,9 на 1000 населения.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В структуре смертности населения Кабардино-Балкарской Республики в 2012 году преобладали болезни системы кровообращения - 60,8 процента (543,8 на 100 тыс. нас., в Российской Федерации - 729,3), на втором месте - новообразования - 15,3 процента (136,3 на 100 тыс. нас., в Российской Федерации - 201,2), на третьем - внешние причины - 8,4 процента (74,6 на 100 тыс. нас., в Российской Федерации - 139,4), на четвертом - болезни органов пищеварения - 4,9</w:t>
      </w:r>
      <w:proofErr w:type="gramEnd"/>
      <w:r>
        <w:t xml:space="preserve"> процента (43,6 на 100 тыс. нас</w:t>
      </w:r>
      <w:proofErr w:type="gramStart"/>
      <w:r>
        <w:t xml:space="preserve">., </w:t>
      </w:r>
      <w:proofErr w:type="gramEnd"/>
      <w:r>
        <w:t>в Российской Федерации - 60,9), на пятом - болезни органов дыхания - 2,7 процента (24,1 на 100 тыс. нас., в Российской Федерации - 48,1).</w:t>
      </w:r>
    </w:p>
    <w:p w:rsidR="00034A74" w:rsidRDefault="00034A74">
      <w:pPr>
        <w:pStyle w:val="ConsPlusNormal"/>
        <w:ind w:firstLine="540"/>
        <w:jc w:val="both"/>
      </w:pPr>
      <w:r>
        <w:t>Показатель младенческой смертности составил 8,5 на 1000 родившихся живыми, за аналогичный период 2011 года показатель младенческой смертности составлял 5,7 на 1000 живорожденных (в Северо-Кавказском федеральном округе - 13,0, в Российской Федерации - 7,4 - 2011 г., 8,6 - 2012 г.). Недоношенные составили 53 процента от общего числа умерших детей.</w:t>
      </w:r>
    </w:p>
    <w:p w:rsidR="00034A74" w:rsidRDefault="00034A74">
      <w:pPr>
        <w:pStyle w:val="ConsPlusNormal"/>
        <w:ind w:firstLine="540"/>
        <w:jc w:val="both"/>
      </w:pPr>
      <w:r>
        <w:t>Рост младенческой смертности обусловлен переходом с 1 января 2012 года на новые критерии живорождения и возникшей в связи с этим необходимостью регистрации смерти детей весом от 500 граммов.</w:t>
      </w:r>
    </w:p>
    <w:p w:rsidR="00034A74" w:rsidRDefault="00034A74">
      <w:pPr>
        <w:pStyle w:val="ConsPlusNormal"/>
        <w:ind w:firstLine="540"/>
        <w:jc w:val="both"/>
      </w:pPr>
      <w:r>
        <w:t xml:space="preserve">Показатель материнской смертности в 2012 году составил 7,3, в 2011 году - 15,5 на 100 тыс. </w:t>
      </w:r>
      <w:proofErr w:type="gramStart"/>
      <w:r>
        <w:t>родившихся</w:t>
      </w:r>
      <w:proofErr w:type="gramEnd"/>
      <w:r>
        <w:t xml:space="preserve"> живыми (в Российской Федерации - 16,2). Состояние здоровья и уровень смертности населения отражаются в показателе ожидаемой продолжительности жизни, данный показатель по Кабардино-Балкарской Республике составляет 72,4 года (в Российской Федерации - 68,9 лет).</w:t>
      </w:r>
    </w:p>
    <w:p w:rsidR="00034A74" w:rsidRDefault="00034A74">
      <w:pPr>
        <w:pStyle w:val="ConsPlusNormal"/>
        <w:ind w:firstLine="540"/>
        <w:jc w:val="both"/>
      </w:pPr>
      <w:r>
        <w:t>За период с 2011 по 2012 год общая заболеваемость населения Кабардино-Балкарской Республики снизилась на 0,2 процента (с 100762,7 до 100593,7 на 100 тыс. населения). Показатель в Российской Федерации составляет, по данным 2011 года, 160399,5 на 100 тыс. населения.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В структуре общей заболеваемости населения Кабардино-Балкарской Республики первое место занимают болезни органов дыхания - 19 процентов (19154,9 на 100 тыс. нас.), на втором месте болезни системы пищеварения - 16,8 процента (16902,4 на 100 тыс. нас.), на третьем - болезни органов кровообращения - 12,5 процента (12559,4 на 100 тыс. нас.), далее следовали болезни мочеполовой системы - 8 процентов (8011,4 на 100 тыс. нас.), травмы и отравления</w:t>
      </w:r>
      <w:proofErr w:type="gramEnd"/>
      <w:r>
        <w:t xml:space="preserve"> - 6,2 процента (6277,6 на 100 тыс. нас.), болезни нервной системы - 6 процентов (6072,2 на 100 тыс. нас.).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В структуре общей заболеваемости детей в 2012 году первое место занимают болезни органов дыхания - 35,2 процента, на втором месте болезни системы пищеварения - 20,2 процента, на третьем - болезни кожи и подкожной клетчатки - 6,4 процента, далее идут травмы и отравления - 5,3 процента, болезни нервной системы - 4,8 процента, болезни глаза - 4,2 процента, болезни эндокринной системы - 3,7 процента.</w:t>
      </w:r>
      <w:proofErr w:type="gramEnd"/>
    </w:p>
    <w:p w:rsidR="00034A74" w:rsidRDefault="00034A74">
      <w:pPr>
        <w:pStyle w:val="ConsPlusNormal"/>
        <w:ind w:firstLine="540"/>
        <w:jc w:val="both"/>
      </w:pPr>
      <w:r>
        <w:t xml:space="preserve">Число посещений на одного жителя в год составляет 9,3 (2011 г. - 9,2), что несколько </w:t>
      </w:r>
      <w:proofErr w:type="gramStart"/>
      <w:r>
        <w:t>ниже</w:t>
      </w:r>
      <w:proofErr w:type="gramEnd"/>
      <w:r>
        <w:t xml:space="preserve"> чем в среднем по России - 9,4. Количество граждан, которым оказана скорая медицинская помощь при выездах в 2012 году составило 404,6 на 1000 населения (2011 г. - 389,7), превышая данный показатель по России в целом - 356,0. Очевидно, что при снижении числа посещений в 2012 году наблюдается высокий показатель числа граждан, которым оказана скорая медицинская помощь, что говорит о недостаточно эффективной организации работы первичного звена.</w:t>
      </w:r>
    </w:p>
    <w:p w:rsidR="00034A74" w:rsidRDefault="00034A74">
      <w:pPr>
        <w:pStyle w:val="ConsPlusNormal"/>
        <w:ind w:firstLine="540"/>
        <w:jc w:val="both"/>
      </w:pPr>
      <w:r>
        <w:t>Сеть медицинских учреждений здравоохранения в 2012 году была представлена 128 организациями - это центры, диспансеры, городские, районные, участковые больницы, амбулаторно-поликлинические учреждения, станции скорой медицинской помощи, детские санатории и прочие учреждения. Данная структура обеспечивала жителей каждого населенного пункта медицинской помощью, радиус обслуживания населения составляет 4 - 5 км.</w:t>
      </w:r>
    </w:p>
    <w:p w:rsidR="00034A74" w:rsidRDefault="00034A74">
      <w:pPr>
        <w:pStyle w:val="ConsPlusNormal"/>
        <w:ind w:firstLine="540"/>
        <w:jc w:val="both"/>
      </w:pPr>
      <w:r>
        <w:t xml:space="preserve">Для повышения доступности и качества предоставляемой медицинской помощи в </w:t>
      </w:r>
      <w:r>
        <w:lastRenderedPageBreak/>
        <w:t>республике действует трехуровневая (трехэтапная) система оказания медицинской помощи.</w:t>
      </w:r>
    </w:p>
    <w:p w:rsidR="00034A74" w:rsidRDefault="00034A74">
      <w:pPr>
        <w:pStyle w:val="ConsPlusNormal"/>
        <w:ind w:firstLine="540"/>
        <w:jc w:val="both"/>
      </w:pPr>
      <w:r>
        <w:t>Первый уровень представлен всеми подразделениями участковых больниц, оказывающими первичную медико-санитарную и стационарную помощь, поликлиниками районов и городов, сельскими врачебными амбулаториями и фельдшерско-акушерскими пунктами.</w:t>
      </w:r>
    </w:p>
    <w:p w:rsidR="00034A74" w:rsidRDefault="00034A74">
      <w:pPr>
        <w:pStyle w:val="ConsPlusNormal"/>
        <w:ind w:firstLine="540"/>
        <w:jc w:val="both"/>
      </w:pPr>
      <w:r>
        <w:t xml:space="preserve">Второй уровень представлен центральными районными и городскими больницами, оказывающими квалифицированную специализированную амбулаторную и стационарную медицинскую помощь по наиболее востребованным специализированным профилям, республиканскими центрами и диспансерами. В межмуниципальных центрах развиваются стационарозамещающие технологии (дневные стационары) по специализированным профилям, в перспективе будет внедрен широкий спектр диагностических процедур, лучевая диагностика. </w:t>
      </w:r>
      <w:proofErr w:type="gramStart"/>
      <w:r>
        <w:t>Межрайонные стационарные специализированные отделения: педиатрическое, гинекологическое, родильное, хирургическое, травматологическое, урологическое, инфекционное, офтальмологическое, отоларингологическое, фтизиатрическое, - созданы в трех районах республики.</w:t>
      </w:r>
      <w:proofErr w:type="gramEnd"/>
    </w:p>
    <w:p w:rsidR="00034A74" w:rsidRDefault="00034A74">
      <w:pPr>
        <w:pStyle w:val="ConsPlusNormal"/>
        <w:ind w:firstLine="540"/>
        <w:jc w:val="both"/>
      </w:pPr>
      <w:r>
        <w:t>Третий уровень - ГКУЗ "Республиканская клиническая больница", оказывающая специализированную и высокотехнологичную медицинскую помощь по профилю травматология-ортопедия. В структуру данного учреждения входит консультативно-поликлиническое подразделение и стационарные отделения, а материально-техническая база и кадры соответствуют уровню оказываемой помощи.</w:t>
      </w:r>
    </w:p>
    <w:p w:rsidR="00034A74" w:rsidRDefault="00034A74">
      <w:pPr>
        <w:pStyle w:val="ConsPlusNormal"/>
        <w:ind w:firstLine="540"/>
        <w:jc w:val="both"/>
      </w:pPr>
      <w:r>
        <w:t>Учреждения здравоохранения 2 и 3 уровней несут организационно-методическую функцию, здесь внедрены выездные формы работы.</w:t>
      </w:r>
    </w:p>
    <w:p w:rsidR="00034A74" w:rsidRDefault="00034A74">
      <w:pPr>
        <w:pStyle w:val="ConsPlusNormal"/>
        <w:ind w:firstLine="540"/>
        <w:jc w:val="both"/>
      </w:pPr>
      <w:r>
        <w:t xml:space="preserve">В целях оптимизации деятельности медицинских учреждений Кабардино-Балкарской Республики и эффективности функционирования системы здравоохранения, в соответствии с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Кабардино-Балкарской Республики от 10 января 2013 года N 8-рп 128 государственных учреждений здравоохранения реорганизованы в 61 со статусом юридического лица. Предложенная централизация учреждений здравоохранения в муниципальных образованиях республики позволит привести коечный фонд в соответствие с федеральными нормативами. На 1 января 2013 года общий коечный фонд медицинских учреждений составляет 8166 коек. В рамках оптимизации коечного фонда сокращена 471 койка круглосуточного пребывания больного, из них 228 преобразованы в койки дневного стационара. Количество коек дневного пребывания при стационарах достигло 715, при амбулаторно-поликлинических учреждениях - 527.</w:t>
      </w:r>
    </w:p>
    <w:p w:rsidR="00034A74" w:rsidRDefault="00034A74">
      <w:pPr>
        <w:pStyle w:val="ConsPlusNormal"/>
        <w:ind w:firstLine="540"/>
        <w:jc w:val="both"/>
      </w:pPr>
      <w:r>
        <w:t>В учреждениях здравоохранения Кабардино-Балкарской Республики работают 3183 врача и 8658 работников среднего медицинского персонала. Обеспеченность врачами на 10 тысяч населения составила 37,0, средним медицинским персоналом - 100,7, данные по Северо-Кавказскому федеральному округу - 37,0 и 81,3 соответственно. В республике обеспеченность врачами на 10 тысяч населения ниже среднероссийского показателя, средним медперсоналом превышает показатель Российской Федерации (соответственно 44,0 и 87,4).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1074 "О Программе государственных гарантий бесплатного оказания гражданам медицинской помощи на 2013 год и на плановый период 2014 и 2015 годов" 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ноября 2010 года N 326-ФЗ "Об обязательном медицинском страховании в Российской Федерации" принято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Кабардино-Балкарской Республики от 18 января 2013</w:t>
      </w:r>
      <w:proofErr w:type="gramEnd"/>
      <w:r>
        <w:t xml:space="preserve"> года N 22-ПП "О Программе государственных гарантий оказания гражданам в Кабардино-Балкарской Республике бесплатной медицинской помощи на 2013 год и на плановый период 2014 и 2015 годов".</w:t>
      </w:r>
    </w:p>
    <w:p w:rsidR="00034A74" w:rsidRDefault="00034A74">
      <w:pPr>
        <w:pStyle w:val="ConsPlusNormal"/>
        <w:ind w:firstLine="540"/>
        <w:jc w:val="both"/>
      </w:pPr>
      <w:r>
        <w:t xml:space="preserve">Средства на реализацию указанной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предусмотрены в бюджетах всех уровней: федерального бюджета, республиканского бюджета Кабардино-Балкарской Республики и бюджета обязательного медицинского страхования. </w:t>
      </w:r>
      <w:hyperlink r:id="rId12" w:history="1">
        <w:r>
          <w:rPr>
            <w:color w:val="0000FF"/>
          </w:rPr>
          <w:t>Законом</w:t>
        </w:r>
      </w:hyperlink>
      <w:r>
        <w:t xml:space="preserve"> Кабардино-Балкарской Республики от 28 декабря 2012 года N 101-РЗ утвержден республиканский бюджет Кабардино-Балкарской Республики на 2013 год и на плановый период 2014 и 2015 годов. По отрасли "Здравоохранение" выведены показатели финансовых затрат на единицу объема медицинской помощи и подушевые нормативы финансовых затрат по </w:t>
      </w:r>
      <w:hyperlink r:id="rId13" w:history="1">
        <w:r>
          <w:rPr>
            <w:color w:val="0000FF"/>
          </w:rPr>
          <w:t>программе</w:t>
        </w:r>
      </w:hyperlink>
      <w:r>
        <w:t xml:space="preserve"> госгарантий.</w:t>
      </w:r>
    </w:p>
    <w:p w:rsidR="00034A74" w:rsidRDefault="00034A74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35 пункта 7</w:t>
        </w:r>
      </w:hyperlink>
      <w:r>
        <w:t xml:space="preserve"> Федерального закона от 29 ноября 2010 года N 326-ФЗ </w:t>
      </w:r>
      <w:r>
        <w:lastRenderedPageBreak/>
        <w:t xml:space="preserve">"Об обязательном медицинском страховании в Российской Федерации" с 2013 года вводится одноканальное финансирование. </w:t>
      </w:r>
      <w:proofErr w:type="gramStart"/>
      <w:r>
        <w:t>Структура тарифа на оплату медицинской помощи, оказываемой в рамках Программы обязательного медицинского страхования,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организациях (при отсутствии в медицинской организации</w:t>
      </w:r>
      <w:proofErr w:type="gramEnd"/>
      <w:r>
        <w:t xml:space="preserve"> </w:t>
      </w:r>
      <w:proofErr w:type="gramStart"/>
      <w:r>
        <w:t>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оборудования стоимостью до 100 тысяч</w:t>
      </w:r>
      <w:proofErr w:type="gramEnd"/>
      <w:r>
        <w:t xml:space="preserve"> рублей за единицу.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Утвержденная стоимость Программы составляет 6008,5 млн. рублей на 859063 постоянного населения, по состоянию на 1 января 2012 года (данные Кабардино-Балкариястата), и застрахованного населения на 1 декабря 2012 года (форма 8) - 765,258 тыс. чел., в том числе за счет средств республиканского бюджета Кабардино-Балкарской Республики - 1301,7 млн. руб., бюджета Территориального фонда обязательного медицинского страхования Кабардино-Балкарской Республики - 4706,8 млн. рублей (в т.ч</w:t>
      </w:r>
      <w:proofErr w:type="gramEnd"/>
      <w:r>
        <w:t xml:space="preserve">. </w:t>
      </w:r>
      <w:proofErr w:type="gramStart"/>
      <w:r>
        <w:t>2171,1 млн. рублей - страховые платежи на неработающее население - республиканский бюджет КБР).</w:t>
      </w:r>
      <w:proofErr w:type="gramEnd"/>
    </w:p>
    <w:p w:rsidR="00034A74" w:rsidRDefault="00034A74">
      <w:pPr>
        <w:pStyle w:val="ConsPlusNormal"/>
        <w:ind w:firstLine="540"/>
        <w:jc w:val="both"/>
      </w:pPr>
      <w:r>
        <w:t>Подушевой норматив на 2013 год - 7665,9 рубля (85 процентов от федерального норматива - 9032,5 рубля). Дефицит Программы в 2013 году - 1359,5 млн. рублей (18,5 процента от расчетной стоимости 7367,7 млн. рублей).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Объемы амбулаторной и стационарозамещающей помощи (посещения и пациенто-дни) на 2013 год установлены в соответствии с государственными заданиями по предложению лечебно-профилактических учреждений с учетом фактического анализа за 2011 год, I полугодие 2012 года и составляют 6989527 посещений (в т.ч. по ОМС - 6330000) и 450500 пациенто-дней (в т.ч. по ОМС - 420000).</w:t>
      </w:r>
      <w:proofErr w:type="gramEnd"/>
      <w:r>
        <w:t xml:space="preserve"> </w:t>
      </w:r>
      <w:proofErr w:type="gramStart"/>
      <w:r>
        <w:t xml:space="preserve">Расчетное число дней использования койки в году (койко-дней) по стационару определено в соответствии рекомендуемыми нормативами работы коек по </w:t>
      </w:r>
      <w:hyperlink r:id="rId15" w:history="1">
        <w:r>
          <w:rPr>
            <w:color w:val="0000FF"/>
          </w:rPr>
          <w:t>Методике</w:t>
        </w:r>
      </w:hyperlink>
      <w:r>
        <w:t xml:space="preserve"> определения нормативной потребности субъектов Российской Федерации в объектах социальной инфраструктуры, одобренной Распоряжением Правительства Российской Федерации от 19 октября 1999 года N 1683-р и составляет 2311032 койко-дня (в т.ч. по ОМС - 1850000).</w:t>
      </w:r>
      <w:proofErr w:type="gramEnd"/>
    </w:p>
    <w:p w:rsidR="00034A74" w:rsidRDefault="00034A74">
      <w:pPr>
        <w:pStyle w:val="ConsPlusNormal"/>
        <w:ind w:firstLine="540"/>
        <w:jc w:val="both"/>
      </w:pPr>
      <w:r>
        <w:t xml:space="preserve">Развитие первичной медико-санитарной </w:t>
      </w:r>
      <w:proofErr w:type="gramStart"/>
      <w:r>
        <w:t>помощи</w:t>
      </w:r>
      <w:proofErr w:type="gramEnd"/>
      <w:r>
        <w:t xml:space="preserve"> в том числе включает в себя развитие стационарозамещающих технологий.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 xml:space="preserve">В целях улучшения качества и доступности медицинской помощи населению республики на догоспитальном этапе, повышения эффективности использования материальных, кадровых и финансовых ресурсов здравоохранения в соответствии с совместным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Кабардино-Балкарской Республики и Кабардино-Балкарского территориального фонда обязательного медицинского страхования от 10.08.2010 N 157-П "Об организации деятельности дневных стационаров медицинских учреждений Кабардино-Балкарской Республики" определен порядок организации работы дневных стационаров, отделений (палат) дневного</w:t>
      </w:r>
      <w:proofErr w:type="gramEnd"/>
      <w:r>
        <w:t xml:space="preserve"> пребывания лечебно-профилактических учреждений, а также стационаров на дому. Утверждены показания к госпитализации, перечень основных нозологий и показаний к лечению больных, хирургических вмешательств и видов лечебно-диагностической помощи, оказываемых в дневных стационарах.</w:t>
      </w:r>
    </w:p>
    <w:p w:rsidR="00034A74" w:rsidRDefault="00034A74">
      <w:pPr>
        <w:pStyle w:val="ConsPlusNormal"/>
        <w:ind w:firstLine="540"/>
        <w:jc w:val="both"/>
      </w:pPr>
      <w:r>
        <w:t xml:space="preserve">Доступность медицинской помощи гражданам старших возрастных групп обеспечивается через проведение углубленного диспансерного обследования инвалидов, ветеранов, супругов погибших (умерших) инвалидов и участников Великой Отечественной войны. Широкое распространение получила выездная форма обслуживания специализированных медицинских бригад на дом для обследования пациентов с обязательным участием врачей-специалистов по профилю заболевания. </w:t>
      </w:r>
      <w:proofErr w:type="gramStart"/>
      <w:r>
        <w:t>В 2011 году диспансеризацией охвачены 100 процентов инвалидов и участников Великой Отечественной войны, а также лиц, приравненных к ним.</w:t>
      </w:r>
      <w:proofErr w:type="gramEnd"/>
      <w:r>
        <w:t xml:space="preserve"> По результатам проведенного углубленного диспансерного обследования все нуждающиеся ветераны получают </w:t>
      </w:r>
      <w:r>
        <w:lastRenderedPageBreak/>
        <w:t>необходимое лечение. Организован активный патронаж одиноких ветеранов, в том числе проживающих в отдаленных пунктах.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 xml:space="preserve">В рамках Республиканской целевой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"Программа модернизации системы здравоохранения в Кабардино-Балкарской Республике" на 2011 - 2012 годы (далее - Программа модернизации), утвержденной Постановлением Правительства Кабардино-Балкарской Республики от 24 марта 2011 года N 72-ПП, создана служба неотложной медицинской помощи на базах городских поликлиник г.о. Нальчик и поликлинических отделений ГБУЗ "Городская больница" г.о. Баксан в виде бригад неотложной медицинской помощи в составе</w:t>
      </w:r>
      <w:proofErr w:type="gramEnd"/>
      <w:r>
        <w:t xml:space="preserve"> терапевтических и педиатрических отделений. В состав бригады входят: врач-терапевт (педиатр), фельдшер (медицинская сестра) и водитель.</w:t>
      </w:r>
    </w:p>
    <w:p w:rsidR="00034A74" w:rsidRDefault="00034A74">
      <w:pPr>
        <w:pStyle w:val="ConsPlusNormal"/>
        <w:ind w:firstLine="540"/>
        <w:jc w:val="both"/>
      </w:pPr>
      <w:r>
        <w:t>Вызовы бригадам неотложной медицинской помощи передаются как диспетчером оперативного отдела ГКУЗ "Станция скорой медицинской помощи", так и медицинским регистратором поликлиники.</w:t>
      </w:r>
    </w:p>
    <w:p w:rsidR="00034A74" w:rsidRDefault="00034A74">
      <w:pPr>
        <w:pStyle w:val="ConsPlusNormal"/>
        <w:ind w:firstLine="540"/>
        <w:jc w:val="both"/>
      </w:pPr>
      <w:r>
        <w:t>Для оснащения диспетчерских пунктов неотложной медицинской помощи в поликлиниках приобретены 22 дежурных автомобиля; диспетчерские пункты при поликлиниках оснащены оргтехникой, рацией, медицинским оборудованием, мебелью.</w:t>
      </w:r>
    </w:p>
    <w:p w:rsidR="00034A74" w:rsidRDefault="00034A74">
      <w:pPr>
        <w:pStyle w:val="ConsPlusNormal"/>
        <w:ind w:firstLine="540"/>
        <w:jc w:val="both"/>
      </w:pPr>
      <w:r>
        <w:t>Особое внимание в республике уделяется здоровью сельского населения. Учреждения здравоохранения в сельской местности представлены центральными районными больницами, участковыми больницами, сельскими врачебными амбулаториями, фельдшерско-акушерскими пунктами, фельдшерскими пунктами. Врачебная помощь населению организована во всех сельских населенных пунктах республики. Ежегодно увеличивается количество посещений фельдшерско-акушерских пунктов, а также посещений на дому. Это связано с активным привлечением медицинских работников к подворовым обходам с целью раннего выявления заболеваний и профилактики обострения хронических заболеваний у хронических больных. Во время осмотров проводится санитарно-разъяснительная работа, рекомендации по питанию, образу жизни, уходу за тяжелыми больными, а при необходимости оказывается неотложная помощь. Треть пациентов обращаются для проведения различных процедур (инъекции, забор крови и мочи на анализы, иммунизация и др.).</w:t>
      </w:r>
    </w:p>
    <w:p w:rsidR="00034A74" w:rsidRDefault="00034A74">
      <w:pPr>
        <w:pStyle w:val="ConsPlusNormal"/>
        <w:ind w:firstLine="540"/>
        <w:jc w:val="both"/>
      </w:pPr>
      <w:r>
        <w:t>В 2011 - 2012 годах количество фельдшерско-акушерских пунктов увеличено с 24 до 29. Сельских врачебных амбулаторий всего 84, из них 52 амбулатории - самостоятельные и 32 амбулатории, входящие в состав районных больниц. В целом сеть амбулаторно-поликлинических учреждений республики соответствует нормативам. В то же время увеличение числа фельдшерско-акушерских пунктов в соответствии с федеральными нормативами не предусматривается в связи отработанной маршрутизацией сельского населения из близлежащих населенных пунктов в центральные районные больницы, наличием развитой сети дорог и надежным транспортным сообщением.</w:t>
      </w:r>
    </w:p>
    <w:p w:rsidR="00034A74" w:rsidRDefault="00034A74">
      <w:pPr>
        <w:pStyle w:val="ConsPlusNormal"/>
        <w:ind w:firstLine="540"/>
        <w:jc w:val="both"/>
      </w:pPr>
      <w:r>
        <w:t xml:space="preserve">В рамках реализации Федеральной целевой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"Социальное развитие сел до 2013 года" ведется строительство фельдшерско-акушерских пунктов, с декабря 2011 года начато строительство районного больничного комплекса в селе Анзорей мощностью на 120 коек (хирургического, неврологического и терапевтического профилей).</w:t>
      </w:r>
    </w:p>
    <w:p w:rsidR="00034A74" w:rsidRDefault="00034A74">
      <w:pPr>
        <w:pStyle w:val="ConsPlusNormal"/>
        <w:ind w:firstLine="540"/>
        <w:jc w:val="both"/>
      </w:pPr>
      <w:r>
        <w:t>Основой системы здравоохранения являются квалифицированные медицинские кадры, их профессиональная квалификация. Дефицит узких специалистов в первичном звене привел к необходимости увеличения в республике врачей общей практики. В настоящее время в республике работают 22 врача общей практики, что позволило оптимизировать работу и увеличить доступность медицинской помощи на селе. Во всех районах республики функционирует 22 офиса (кабинетов) врачей общей практики.</w:t>
      </w:r>
    </w:p>
    <w:p w:rsidR="00034A74" w:rsidRDefault="00034A74">
      <w:pPr>
        <w:pStyle w:val="ConsPlusNormal"/>
        <w:ind w:firstLine="540"/>
        <w:jc w:val="both"/>
      </w:pPr>
      <w:r>
        <w:t xml:space="preserve">В целях оказания более квалифицированной амбулаторно-поликлинической помощи сельскому населению </w:t>
      </w:r>
      <w:proofErr w:type="gramStart"/>
      <w:r>
        <w:t>с учетом дефицита специалистов в районном звене здравоохранения в настоящее время в ряде специализированных медицинских учреждений республики определено кураторство специалистов за определенными районами</w:t>
      </w:r>
      <w:proofErr w:type="gramEnd"/>
      <w:r>
        <w:t>, в функции которых входит оказание профилактической, лечебной, организационно-методической помощи.</w:t>
      </w:r>
    </w:p>
    <w:p w:rsidR="00034A74" w:rsidRDefault="00034A74">
      <w:pPr>
        <w:pStyle w:val="ConsPlusNormal"/>
        <w:ind w:firstLine="540"/>
        <w:jc w:val="both"/>
      </w:pPr>
      <w:r>
        <w:t>Планируется переподготовка узких специалистов для работы в сельской местности, что позволит создать выездные бригады специалистов в районных больницах для консультаций и лечения жителей отдаленных сельских поселений на местах.</w:t>
      </w:r>
    </w:p>
    <w:p w:rsidR="00034A74" w:rsidRDefault="00034A74">
      <w:pPr>
        <w:pStyle w:val="ConsPlusNormal"/>
        <w:ind w:firstLine="540"/>
        <w:jc w:val="both"/>
      </w:pPr>
      <w:r>
        <w:lastRenderedPageBreak/>
        <w:t>С целью обеспечения доступности медицинской помощи жителям в сельской местности на основе современных информационных технологий будет создана врачебно-диспетчерская служба: пациенты из районов смогут записываться на прием к узким специалистам по месту жительства в наиболее удобное для них время. Проблему профессиональной изолированности медицинских работников небольших населенных пунктов снимет создание единого информационного пространства отрасли. С целью организации обмена телемедицинскими данными запланировано создание 2 телемедицинских центров в ГБУЗ "Республиканская клиническая больница" и ГБУЗ "Республиканская детская клиническая больница", а также 10 телемедицинских пунктов на базе городских и районных больниц.</w:t>
      </w:r>
    </w:p>
    <w:p w:rsidR="00034A74" w:rsidRDefault="00034A74">
      <w:pPr>
        <w:pStyle w:val="ConsPlusNormal"/>
        <w:ind w:firstLine="540"/>
        <w:jc w:val="both"/>
      </w:pPr>
      <w:r>
        <w:t xml:space="preserve">Служба медицинской профилактики Кабардино-Балкарской Республики представлена Центром медицинской профилактики, 3 центрами здоровья, созданными в рамках реализации приоритетного национального проекта "Здоровье", 31 кабинетом медицинской профилактики. Планируется оснащение Центров здоровья мобильными диагностическими комплексами, приобретение комплекса для проведения диспансеризации населения в рамках </w:t>
      </w:r>
      <w:hyperlink r:id="rId19" w:history="1">
        <w:r>
          <w:rPr>
            <w:color w:val="0000FF"/>
          </w:rPr>
          <w:t>Программы</w:t>
        </w:r>
      </w:hyperlink>
      <w:r>
        <w:t xml:space="preserve"> модернизации здравоохранения.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В соответствии с Приказом Минздравсоцразвития России от 19.08.2009 N 597н "Об организации деятельности центров здоровья по формированию здорового образа жизни у граждан Российской Федерации, включая сокращение потребления алкоголя и табака" в случае, если в процессе обследования в центре здоровья выявляется подозрение на какое-либо заболевание, врач центра здоровья рекомендует гражданину обратиться в лечебно-профилактическое учреждение к врачу-специалисту для определения дальнейшей тактики его</w:t>
      </w:r>
      <w:proofErr w:type="gramEnd"/>
      <w:r>
        <w:t xml:space="preserve"> наблюдения и лечения. Подобная организация маршрутизации пациентов устанавливает тесное взаимодействие центров здоровья и амбулаторно-поликлинических учреждений.</w:t>
      </w:r>
    </w:p>
    <w:p w:rsidR="00034A74" w:rsidRDefault="00034A74">
      <w:pPr>
        <w:pStyle w:val="ConsPlusNormal"/>
        <w:ind w:firstLine="540"/>
        <w:jc w:val="both"/>
      </w:pPr>
      <w:r>
        <w:t xml:space="preserve">Особое внимание при формировании и реализации </w:t>
      </w:r>
      <w:hyperlink r:id="rId20" w:history="1">
        <w:r>
          <w:rPr>
            <w:color w:val="0000FF"/>
          </w:rPr>
          <w:t>Программы</w:t>
        </w:r>
      </w:hyperlink>
      <w:r>
        <w:t xml:space="preserve"> модернизации уделено совершенствованию медицинской помощи детям и матерям. Открыто отделение второго этапа выхаживания новорожденных на 20 коек в ГБУЗ "Перинатальный центр", общее количество коек реанимации и интенсивной терапии для новорожденных в учреждениях детства и родовспоможения республики увеличено с 24 до 49, в том числе 13 в муниципальных районах республики. На базе ГБУЗ "Перинатальный центр" и ГБУЗ "Республиканская детская клиническая больница" внедряются технологии выхаживания новорожденных детей с экстремально низкой массой тела, развивается неонатальная хирургия.</w:t>
      </w:r>
    </w:p>
    <w:p w:rsidR="00034A74" w:rsidRDefault="00034A74">
      <w:pPr>
        <w:pStyle w:val="ConsPlusNormal"/>
        <w:ind w:firstLine="540"/>
        <w:jc w:val="both"/>
      </w:pPr>
      <w:r>
        <w:t>Успешно функционируют реабилитационное отделение для детей на 35 коек на базе ГКУЗ "Дом ребенка специализированный", центр помощи беременным в кризисных ситуациях для оказания медицинской и психологической помощи беременным женщинам, попавшим в трудную жизненную ситуацию, в ГБУЗ "Медицинский консультативно-диагностический центр". Реализуется диспансеризация 14-летних подростков, в 2011 - 2012 годах осмотрено 20200 детей.</w:t>
      </w:r>
    </w:p>
    <w:p w:rsidR="00034A74" w:rsidRDefault="00034A74">
      <w:pPr>
        <w:pStyle w:val="ConsPlusNormal"/>
        <w:ind w:firstLine="540"/>
        <w:jc w:val="both"/>
      </w:pPr>
      <w:r>
        <w:t>Развитие первичной медико-санитарной помощи сельскому населению будет продолжено путем развития офисов общей врачебной практики, расширения выездной работы в составе врачебных бригад. Необходимо создание системы оказания медицинской помощи, предусматривающей развитие профилактического направления, включая проведение диспансеризации и медицинских осмотров, развитие новых форм оказания медицинской помощи: стационарозамещающих и выездных методов работы.</w:t>
      </w:r>
    </w:p>
    <w:p w:rsidR="00034A74" w:rsidRDefault="00034A74">
      <w:pPr>
        <w:pStyle w:val="ConsPlusNormal"/>
        <w:ind w:firstLine="540"/>
        <w:jc w:val="both"/>
      </w:pPr>
      <w:r>
        <w:t>Структурные преобразования системы оказания специализированной помощи в Кабардино-Балкарской Республике предполагают реализацию следующих мероприятий:</w:t>
      </w:r>
    </w:p>
    <w:p w:rsidR="00034A74" w:rsidRDefault="00034A74">
      <w:pPr>
        <w:pStyle w:val="ConsPlusNormal"/>
        <w:ind w:firstLine="540"/>
        <w:jc w:val="both"/>
      </w:pPr>
      <w:r>
        <w:t>- на основе стандартов медицинской помощи и порядков ее оказания развитие этапной системы оказания специализированной медицинской помощи, с маршрутизацией направления пациентов в медицинские организации трехуровневой системы оказания медицинской помощи;</w:t>
      </w:r>
    </w:p>
    <w:p w:rsidR="00034A74" w:rsidRDefault="00034A74">
      <w:pPr>
        <w:pStyle w:val="ConsPlusNormal"/>
        <w:ind w:firstLine="540"/>
        <w:jc w:val="both"/>
      </w:pPr>
      <w:r>
        <w:t>- создание в медицинских организациях, оказывающих специализированную медицинскую помощь, службы маршрутизации, ответственной за организацию долечивания и реабилитации выписывающихся больных, а также внедрение новых медицинских технологий;</w:t>
      </w:r>
    </w:p>
    <w:p w:rsidR="00034A74" w:rsidRDefault="00034A74">
      <w:pPr>
        <w:pStyle w:val="ConsPlusNormal"/>
        <w:ind w:firstLine="540"/>
        <w:jc w:val="both"/>
      </w:pPr>
      <w:r>
        <w:t>- обеспечение преемственности в ведении больного на всех этапах, что значительно повысит качество медицинской помощи населению;</w:t>
      </w:r>
    </w:p>
    <w:p w:rsidR="00034A74" w:rsidRDefault="00034A74">
      <w:pPr>
        <w:pStyle w:val="ConsPlusNormal"/>
        <w:ind w:firstLine="540"/>
        <w:jc w:val="both"/>
      </w:pPr>
      <w:r>
        <w:t xml:space="preserve">- оптимизацию структуры отрасли путем объединения участковых больниц и амбулаторий и создания центральных районных больниц с возложением функций управления здравоохранением </w:t>
      </w:r>
      <w:r>
        <w:lastRenderedPageBreak/>
        <w:t>муниципального района;</w:t>
      </w:r>
    </w:p>
    <w:p w:rsidR="00034A74" w:rsidRDefault="00034A74">
      <w:pPr>
        <w:pStyle w:val="ConsPlusNormal"/>
        <w:ind w:firstLine="540"/>
        <w:jc w:val="both"/>
      </w:pPr>
      <w:r>
        <w:t>- обеспечение доступности для населения современных эффективных медицинских технологий, что позволит оказывать большую часть объемов медицинской помощи в амбулаторных условиях и условиях дневного стационара;</w:t>
      </w:r>
    </w:p>
    <w:p w:rsidR="00034A74" w:rsidRDefault="00034A74">
      <w:pPr>
        <w:pStyle w:val="ConsPlusNormal"/>
        <w:ind w:firstLine="540"/>
        <w:jc w:val="both"/>
      </w:pPr>
      <w:r>
        <w:t>- оптимизацию оказания медицинской помощи в стационарных условиях на основе оптимизации структуры коечного фонда медицинских организаций и интенсификации занятости койки с учетом ее профиля, а также развития стационарозамещающих технологий;</w:t>
      </w:r>
    </w:p>
    <w:p w:rsidR="00034A74" w:rsidRDefault="00034A74">
      <w:pPr>
        <w:pStyle w:val="ConsPlusNormal"/>
        <w:ind w:firstLine="540"/>
        <w:jc w:val="both"/>
      </w:pPr>
      <w:r>
        <w:t>- развитие системы оказания медицинской реабилитации и паллиативной медицинской помощи.</w:t>
      </w:r>
    </w:p>
    <w:p w:rsidR="00034A74" w:rsidRDefault="00034A74">
      <w:pPr>
        <w:pStyle w:val="ConsPlusNormal"/>
        <w:ind w:firstLine="540"/>
        <w:jc w:val="both"/>
      </w:pPr>
      <w:r>
        <w:t>В рамках структурных преобразований системы оказания медицинской помощи матерям и детям предусматривается:</w:t>
      </w:r>
    </w:p>
    <w:p w:rsidR="00034A74" w:rsidRDefault="00034A74">
      <w:pPr>
        <w:pStyle w:val="ConsPlusNormal"/>
        <w:ind w:firstLine="540"/>
        <w:jc w:val="both"/>
      </w:pPr>
      <w:r>
        <w:t>- совершенствование службы родовспоможения путем формирования трехуровневой системы оказания медицинской помощи, развития специализированной медицинской помощи, перинатальных технологий, маршрутизации беременных;</w:t>
      </w:r>
    </w:p>
    <w:p w:rsidR="00034A74" w:rsidRDefault="00034A74">
      <w:pPr>
        <w:pStyle w:val="ConsPlusNormal"/>
        <w:ind w:firstLine="540"/>
        <w:jc w:val="both"/>
      </w:pPr>
      <w:r>
        <w:t>- развитие многопрофильных и специализированных педиатрических стационаров, с учетом региональных потребностей в специализированных и высокотехнологичных видах медицинской помощи;</w:t>
      </w:r>
    </w:p>
    <w:p w:rsidR="00034A74" w:rsidRDefault="00034A74">
      <w:pPr>
        <w:pStyle w:val="ConsPlusNormal"/>
        <w:ind w:firstLine="540"/>
        <w:jc w:val="both"/>
      </w:pPr>
      <w:r>
        <w:t>- развитие организационных технологий, предусматривающих четкую маршрутизацию больных детей в тесной привязке к действующей сети медицинских организаций с учетом региональных особенностей заболеваемости и смертности детского населения.</w:t>
      </w:r>
    </w:p>
    <w:p w:rsidR="00034A74" w:rsidRDefault="00034A74">
      <w:pPr>
        <w:pStyle w:val="ConsPlusNormal"/>
        <w:ind w:firstLine="540"/>
        <w:jc w:val="both"/>
      </w:pPr>
      <w:r>
        <w:t>Реализация мероприятий, направленных на совершенствование организации деятельности педиатрических и родовспомогательных учреждений здравоохранения, включает оснащение современным лечебным, диагностическим оборудованием родовспомогательных и детских учреждений здравоохранения, совершенствование пренатального, неонатального и аудиологического скринингов; внедрение современных технологий питания детей; профилактику заболеваний репродуктивной системы у детей и подростков.</w:t>
      </w:r>
    </w:p>
    <w:p w:rsidR="00034A74" w:rsidRDefault="00034A74">
      <w:pPr>
        <w:pStyle w:val="ConsPlusNormal"/>
        <w:ind w:firstLine="540"/>
        <w:jc w:val="both"/>
      </w:pPr>
      <w:r>
        <w:t>В последние годы значительные инвестиции направлены на развитие и совершенствование специализированной, в том числе высокотехнологичной медицинской помощи, реорганизацию стационарной помощи, развитие ресурсосберегающих технологий, повышение квалификации медицинских кадров.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15 декабря 2000 года N 967 "Об утверждении Положения о расследовании и учете профессиональных заболеваний" с 2009 года на базе ГБУЗ "Республиканская клиническая больница" функционирует центр профпатологии, на который возложены обязанности по координации, методическому руководству и контролю за работой учреждений здравоохранения республики по вопросам профпатологии.</w:t>
      </w:r>
      <w:proofErr w:type="gramEnd"/>
    </w:p>
    <w:p w:rsidR="00034A74" w:rsidRDefault="00034A74">
      <w:pPr>
        <w:pStyle w:val="ConsPlusNormal"/>
        <w:ind w:firstLine="540"/>
        <w:jc w:val="both"/>
      </w:pPr>
      <w:r>
        <w:t xml:space="preserve">На базе ГБУЗ "Республиканская клиническая больница" открыт центр амбулаторного гемодиализа, в котором функционирует 21 аппарат, лечение получают 148 больных, нуждающихся в дорогостоящем лечении. На условиях государственно-частного партнерства в рамках заключенных соглашений между Правительством Кабардино-Балкарской Республики и ведущими российскими медицинскими клиниками будут открыты центр челюстно-лицевой и пластической хирургии и неврологические центры в </w:t>
      </w:r>
      <w:proofErr w:type="gramStart"/>
      <w:r>
        <w:t>г</w:t>
      </w:r>
      <w:proofErr w:type="gramEnd"/>
      <w:r>
        <w:t>.о. Баксан и г.п. Нарткала.</w:t>
      </w:r>
    </w:p>
    <w:p w:rsidR="00034A74" w:rsidRDefault="00034A74">
      <w:pPr>
        <w:pStyle w:val="ConsPlusNormal"/>
        <w:ind w:firstLine="540"/>
        <w:jc w:val="both"/>
      </w:pPr>
      <w:r>
        <w:t xml:space="preserve">В рамках приоритетного национального проекта "Здоровье" открыт Республиканский травматологический центр. </w:t>
      </w:r>
      <w:proofErr w:type="gramStart"/>
      <w:r>
        <w:t>Проводятся масштабные мероприятия по созданию сосудистого кластера и формированию полного технологического цикла по совершенствованию помощи больным с сосудистыми заболеваниями - от профилактики до реабилитации: создаются Республиканский сосудистый центр на базе ГБУЗ "Республиканская клиническая больница", первичные сосудистые отделения в ГБУЗ "Городская клинической больнице N 1" и ГБУЗ "Городская больница г.о. Прохладный Кабардино-Балкарской Республики".</w:t>
      </w:r>
      <w:proofErr w:type="gramEnd"/>
      <w:r>
        <w:t xml:space="preserve"> Закуплено 278 единиц современного медицинского оборудования, в том числе три 16-срезовых рентгеновских компьютерных томографа высокого класса. </w:t>
      </w:r>
      <w:proofErr w:type="gramStart"/>
      <w:r>
        <w:t>Это в дополнение к уже работающим в республике бесплатным компьютерному и магнитно-резонансному томографам, закупленным для Республиканского травматологического центра в рамках приоритетного национального проекта "Здоровье".</w:t>
      </w:r>
      <w:proofErr w:type="gramEnd"/>
      <w:r>
        <w:t xml:space="preserve"> В рамках федеральных целевых программ закупается УЗИ-аппарат </w:t>
      </w:r>
      <w:proofErr w:type="gramStart"/>
      <w:r>
        <w:t>эксперт-класса</w:t>
      </w:r>
      <w:proofErr w:type="gramEnd"/>
      <w:r>
        <w:t xml:space="preserve"> для ГБУЗ "Онкологический диспансер", специализированный автомобиль высокой проходимости, </w:t>
      </w:r>
      <w:r>
        <w:lastRenderedPageBreak/>
        <w:t>оснащенный межрегиональной системой связи для ГКУЗ "Центр медицины катастроф".</w:t>
      </w:r>
    </w:p>
    <w:p w:rsidR="00034A74" w:rsidRDefault="00034A74">
      <w:pPr>
        <w:pStyle w:val="ConsPlusNormal"/>
        <w:ind w:firstLine="540"/>
        <w:jc w:val="both"/>
      </w:pPr>
      <w:r>
        <w:t>В перспективе предполагается реализация следующих мероприятий:</w:t>
      </w:r>
    </w:p>
    <w:p w:rsidR="00034A74" w:rsidRDefault="00034A74">
      <w:pPr>
        <w:pStyle w:val="ConsPlusNormal"/>
        <w:ind w:firstLine="540"/>
        <w:jc w:val="both"/>
      </w:pPr>
      <w:r>
        <w:t>"Строительство кардиохирургического центра на 50 коек (в том числе 20 детских)";</w:t>
      </w:r>
    </w:p>
    <w:p w:rsidR="00034A74" w:rsidRDefault="00034A74">
      <w:pPr>
        <w:pStyle w:val="ConsPlusNormal"/>
        <w:ind w:firstLine="540"/>
        <w:jc w:val="both"/>
      </w:pPr>
      <w:r>
        <w:t xml:space="preserve">"Строительство нового здания Противотуберкулезного диспансера на 500 коек за чертой </w:t>
      </w:r>
      <w:proofErr w:type="gramStart"/>
      <w:r>
        <w:t>г</w:t>
      </w:r>
      <w:proofErr w:type="gramEnd"/>
      <w:r>
        <w:t>.о. Нальчик";</w:t>
      </w:r>
    </w:p>
    <w:p w:rsidR="00034A74" w:rsidRDefault="00034A74">
      <w:pPr>
        <w:pStyle w:val="ConsPlusNormal"/>
        <w:ind w:firstLine="540"/>
        <w:jc w:val="both"/>
      </w:pPr>
      <w:r>
        <w:t xml:space="preserve">"Строительство хирургического корпуса на 240 коек на территории ГБУЗ "Городская больница" </w:t>
      </w:r>
      <w:proofErr w:type="gramStart"/>
      <w:r>
        <w:t>г</w:t>
      </w:r>
      <w:proofErr w:type="gramEnd"/>
      <w:r>
        <w:t>.о. Баксан";</w:t>
      </w:r>
    </w:p>
    <w:p w:rsidR="00034A74" w:rsidRDefault="00034A74">
      <w:pPr>
        <w:pStyle w:val="ConsPlusNormal"/>
        <w:ind w:firstLine="540"/>
        <w:jc w:val="both"/>
      </w:pPr>
      <w:r>
        <w:t xml:space="preserve">"Завершение строительства республиканского онкологического центра на 220 коек, </w:t>
      </w:r>
      <w:proofErr w:type="gramStart"/>
      <w:r>
        <w:t>г</w:t>
      </w:r>
      <w:proofErr w:type="gramEnd"/>
      <w:r>
        <w:t>.о. Нальчик";</w:t>
      </w:r>
    </w:p>
    <w:p w:rsidR="00034A74" w:rsidRDefault="00034A74">
      <w:pPr>
        <w:pStyle w:val="ConsPlusNormal"/>
        <w:ind w:firstLine="540"/>
        <w:jc w:val="both"/>
      </w:pPr>
      <w:r>
        <w:t>"Завершение строительства Перинатального центра на 250 коек с женской консультацией на 150 посещений в смену";</w:t>
      </w:r>
    </w:p>
    <w:p w:rsidR="00034A74" w:rsidRDefault="00034A74">
      <w:pPr>
        <w:pStyle w:val="ConsPlusNormal"/>
        <w:ind w:firstLine="540"/>
        <w:jc w:val="both"/>
      </w:pPr>
      <w:r>
        <w:t xml:space="preserve">"Завершение строительства новой районной больницы </w:t>
      </w:r>
      <w:proofErr w:type="gramStart"/>
      <w:r>
        <w:t>в</w:t>
      </w:r>
      <w:proofErr w:type="gramEnd"/>
      <w:r>
        <w:t xml:space="preserve"> с.п. Анзорей".</w:t>
      </w:r>
    </w:p>
    <w:p w:rsidR="00034A74" w:rsidRDefault="00034A74">
      <w:pPr>
        <w:pStyle w:val="ConsPlusNormal"/>
        <w:ind w:firstLine="540"/>
        <w:jc w:val="both"/>
      </w:pPr>
      <w:r>
        <w:t>Эффективность системы здравоохранения будет обеспечена также путем переориентации отрасли на профилактические и реабилитационно-восстановительные мероприятия.</w:t>
      </w:r>
    </w:p>
    <w:p w:rsidR="00034A74" w:rsidRDefault="00034A74">
      <w:pPr>
        <w:pStyle w:val="ConsPlusNormal"/>
        <w:ind w:firstLine="540"/>
        <w:jc w:val="both"/>
      </w:pPr>
      <w:r>
        <w:t>В настоящее время реабилитационная служба Кабардино-Балкарской Республики для оказания помощи взрослому населению включает:</w:t>
      </w:r>
    </w:p>
    <w:p w:rsidR="00034A74" w:rsidRDefault="00034A74">
      <w:pPr>
        <w:pStyle w:val="ConsPlusNormal"/>
        <w:ind w:firstLine="540"/>
        <w:jc w:val="both"/>
      </w:pPr>
      <w:r>
        <w:t>- отделения реанимации и интенсивной терапии в специализированных отделениях республиканских, городских и центральных районных больницах;</w:t>
      </w:r>
    </w:p>
    <w:p w:rsidR="00034A74" w:rsidRDefault="00034A74">
      <w:pPr>
        <w:pStyle w:val="ConsPlusNormal"/>
        <w:ind w:firstLine="540"/>
        <w:jc w:val="both"/>
      </w:pPr>
      <w:r>
        <w:t>- стационарные реабилитационные отделения по профилям "наркология" и "аллергология" специализированных диспансеров и центров;</w:t>
      </w:r>
    </w:p>
    <w:p w:rsidR="00034A74" w:rsidRDefault="00034A74">
      <w:pPr>
        <w:pStyle w:val="ConsPlusNormal"/>
        <w:ind w:firstLine="540"/>
        <w:jc w:val="both"/>
      </w:pPr>
      <w:r>
        <w:t>- самостоятельные поликлиники и поликлинические отделения городских и центральных районных больниц, в структуре которых развернуты койки дневных стационаров для проведения восстановительной терапии и реабилитации; санаторные реабилитационные учреждения, подведомственные ОАО "Курорт "Нальчик".</w:t>
      </w:r>
    </w:p>
    <w:p w:rsidR="00034A74" w:rsidRDefault="00034A74">
      <w:pPr>
        <w:pStyle w:val="ConsPlusNormal"/>
        <w:ind w:firstLine="540"/>
        <w:jc w:val="both"/>
      </w:pPr>
      <w:r>
        <w:t>Медицинская реабилитация детскому населению Кабардино-Балкарской Республики организована по трехэтапной системе.</w:t>
      </w:r>
    </w:p>
    <w:p w:rsidR="00034A74" w:rsidRDefault="00034A74">
      <w:pPr>
        <w:pStyle w:val="ConsPlusNormal"/>
        <w:ind w:firstLine="540"/>
        <w:jc w:val="both"/>
      </w:pPr>
      <w:r>
        <w:t>Первый этап медицинской реабилитации детей осуществляется в отделениях реанимации и интенсивной терапии, профильных (специализированных) детских отделениях ГБУЗ "Республиканская детская клиническая больница", ГБУЗ "Городская клиническая больница N 1", в детских отделениях специализированных диспансеров, центров, городских и районных больниц по месту жительства ребенка.</w:t>
      </w:r>
    </w:p>
    <w:p w:rsidR="00034A74" w:rsidRDefault="00034A74">
      <w:pPr>
        <w:pStyle w:val="ConsPlusNormal"/>
        <w:ind w:firstLine="540"/>
        <w:jc w:val="both"/>
      </w:pPr>
      <w:r>
        <w:t>Второй этап медицинской реабилитации осуществляется на базе ГКУЗ "Дом ребенка специализированный" в отделении реабилитации и восстановительного лечения для детей в возрасте от 0 до 7 лет с заболеваниями нервной системы и костно-мышечного аппарата. Отделение рассчитано на 35 коек для совместного пребывания матери и ребенка.</w:t>
      </w:r>
    </w:p>
    <w:p w:rsidR="00034A74" w:rsidRDefault="00034A74">
      <w:pPr>
        <w:pStyle w:val="ConsPlusNormal"/>
        <w:ind w:firstLine="540"/>
        <w:jc w:val="both"/>
      </w:pPr>
      <w:r>
        <w:t>Детям в возрасте от 7 до 14 лет с патологией нервной системы, костно-мышечного аппарата и органов зрения второй этап реабилитации проводится в ГКЦ "Базовый республиканский детский социально-реабилитационный центр "Радуга" Министерства труда и социального развития Кабардино-Балкарской Республики.</w:t>
      </w:r>
    </w:p>
    <w:p w:rsidR="00034A74" w:rsidRDefault="00034A74">
      <w:pPr>
        <w:pStyle w:val="ConsPlusNormal"/>
        <w:ind w:firstLine="540"/>
        <w:jc w:val="both"/>
      </w:pPr>
      <w:r>
        <w:t>Третий этап реабилитации осуществляется:</w:t>
      </w:r>
    </w:p>
    <w:p w:rsidR="00034A74" w:rsidRDefault="00034A74">
      <w:pPr>
        <w:pStyle w:val="ConsPlusNormal"/>
        <w:ind w:firstLine="540"/>
        <w:jc w:val="both"/>
      </w:pPr>
      <w:r>
        <w:t>1) в отделениях дневного пребывания детских амбулаторно-поликлинических учреждений общей мощностью 143 койки. В структуре всех детских поликлиник и детских поликлинических отделений предусмотрены отделения и кабинеты восстановительного лечения (кабинеты лечебной физкультуры, массажа, физиотерапевтического лечения и др.). В ряде районных больниц используются физиотерапевтические кабинеты общей лечебной сети. Обеспеченность реабилитационными койками на десять тысяч детского населения составляет 2,2;</w:t>
      </w:r>
    </w:p>
    <w:p w:rsidR="00034A74" w:rsidRDefault="00034A74">
      <w:pPr>
        <w:pStyle w:val="ConsPlusNormal"/>
        <w:ind w:firstLine="540"/>
        <w:jc w:val="both"/>
      </w:pPr>
      <w:r>
        <w:t xml:space="preserve">2) на базе детских санаториев. В республике развернуты три детских санатория, подведомственных Министерству здравоохранения и курортов КБР, в том числе один санаторий бронхо-легочного профиля для детей в возрасте от 3 до 7 лет, два санатория противотуберкулезного профиля для детей от 3 до 7 лет и от 7 до 14 лет соответственно. Кроме того, функционирует ГКЦ "Базовый республиканский детский социально-реабилитационный центр "Радуга" Министерства труда и социального развития Кабардино-Балкарской Республики для детей в возрасте от 7 до 14 лет. Вместе с тем, на сегодняшний день из трех санаториев, подведомственных Министерству здравоохранения и курортов Кабардино-Балкарской </w:t>
      </w:r>
      <w:r>
        <w:lastRenderedPageBreak/>
        <w:t>Республики, функционирует только один ГКУЗ "Детский противотуберкулезный санаторий "Звездочка" на 100 коек, где получают санаторное лечение дети из "групп риска" по туберкулезу. ГКУЗ "Детский противотуберкулезный санаторий "Огонек" и ГКУЗ "Детский санаторий "Орленок" бронхо-легочного профиля закрыты в связи с полным моральным и физическим износом материально-технической базы. Эффективное использование обоих санаториев возможно только после полной реконструкции, отвечающей современным требованиям к организации санаторной помощи детям;</w:t>
      </w:r>
    </w:p>
    <w:p w:rsidR="00034A74" w:rsidRDefault="00034A74">
      <w:pPr>
        <w:pStyle w:val="ConsPlusNormal"/>
        <w:ind w:firstLine="540"/>
        <w:jc w:val="both"/>
      </w:pPr>
      <w:r>
        <w:t>3) на базе специализированных детских садов и школ Министерства образования и науки Кабардино-Балкарской Республики, где реабилитационное лечение проводится медицинскими работниками дошкольных и школьных отделений детских поликлиник республики.</w:t>
      </w:r>
    </w:p>
    <w:p w:rsidR="00034A74" w:rsidRDefault="00034A74">
      <w:pPr>
        <w:pStyle w:val="ConsPlusNormal"/>
        <w:ind w:firstLine="540"/>
        <w:jc w:val="both"/>
      </w:pPr>
      <w:r>
        <w:t>На сегодняшний день трехуровневая система реабилитационной помощи в полном объеме оказывается только детям с заболеваниями нервной и костно-мышечной системы. В связи с чем, приоритетными мероприятиями, направленными на обеспечение детей республики полноценным восстановительным и реабилитационным лечением являются:</w:t>
      </w:r>
    </w:p>
    <w:p w:rsidR="00034A74" w:rsidRDefault="00034A74">
      <w:pPr>
        <w:pStyle w:val="ConsPlusNormal"/>
        <w:ind w:firstLine="540"/>
        <w:jc w:val="both"/>
      </w:pPr>
      <w:r>
        <w:t xml:space="preserve">- реконструкция ГКУЗ "Детский санаторий "Орленок" с дальнейшим перепрофилированием в санаторий для совместного пребывания детей с родителями на 100 мест и открытием отделения реабилитации для детей с заболеваниями </w:t>
      </w:r>
      <w:proofErr w:type="gramStart"/>
      <w:r>
        <w:t>сердечно-сосудистой</w:t>
      </w:r>
      <w:proofErr w:type="gramEnd"/>
      <w:r>
        <w:t xml:space="preserve"> системы (в том числе после кардиохирургических вмешательств);</w:t>
      </w:r>
    </w:p>
    <w:p w:rsidR="00034A74" w:rsidRDefault="00034A74">
      <w:pPr>
        <w:pStyle w:val="ConsPlusNormal"/>
        <w:ind w:firstLine="540"/>
        <w:jc w:val="both"/>
      </w:pPr>
      <w:r>
        <w:t>реконструкция ГКУЗ "Детский противотуберкулезный санаторий "Огонек" с дальнейшим перепрофилированием в санаторий для совместного пребывания детей с родителями и открытием отделений реабилитации для детей с онкогематологическими заболеваниями (20 коек), ожоговыми травмами (10 коек), заболеваниями костно-мышечной (30 коек) и нервной системы (40 коек).</w:t>
      </w:r>
    </w:p>
    <w:p w:rsidR="00034A74" w:rsidRDefault="00034A74">
      <w:pPr>
        <w:pStyle w:val="ConsPlusNormal"/>
        <w:ind w:firstLine="540"/>
        <w:jc w:val="both"/>
      </w:pPr>
      <w:r>
        <w:t xml:space="preserve">В целях реализации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2012 г. N 598 "О совершенствовании государственной политики в сфере здравоохранения" Министерством здравоохранения и курортов Кабардино-Балкарской Республики разработаны мероприятия по поэтапному устранению дефицита медицинских кадров на 2013 - 2017 годы.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На сегодняшний день республика испытывает дефицит в медицинских кадрах по специальностям: педиатрия, терапия, фтизиатрия, анестезилогия и реанимация, неонатология, рентгенология, скорая медицинская помощь, психиатрия, наркология, офтальмология, хирургия, судебно-медицинская экспертиза, патологическая анатомия и т.д.</w:t>
      </w:r>
      <w:proofErr w:type="gramEnd"/>
    </w:p>
    <w:p w:rsidR="00034A74" w:rsidRDefault="00034A74">
      <w:pPr>
        <w:pStyle w:val="ConsPlusNormal"/>
        <w:ind w:firstLine="540"/>
        <w:jc w:val="both"/>
      </w:pPr>
      <w:proofErr w:type="gramStart"/>
      <w:r>
        <w:t xml:space="preserve">В целях привлечения молодых специалистов для работы в учреждениях здравоохранения Кабардино-Балкарской Республики в качестве мер социальной поддержки специалистам учреждений здравоохранения, работающим в сельской местности, устанавливается надбавка в размере двадцати пяти процентов к должностным окладам в соответствии со </w:t>
      </w:r>
      <w:hyperlink r:id="rId23" w:history="1">
        <w:r>
          <w:rPr>
            <w:color w:val="0000FF"/>
          </w:rPr>
          <w:t>ст. 10</w:t>
        </w:r>
      </w:hyperlink>
      <w:r>
        <w:t xml:space="preserve"> Закона Кабардино-Балкарской Республики от 29 декабря 2004 года N 57-РЗ "О государственной социальной поддержке отдельных категорий граждан в Кабардино-Балкарской Республике".</w:t>
      </w:r>
      <w:proofErr w:type="gramEnd"/>
    </w:p>
    <w:p w:rsidR="00034A74" w:rsidRDefault="00034A74">
      <w:pPr>
        <w:pStyle w:val="ConsPlusNormal"/>
        <w:ind w:firstLine="540"/>
        <w:jc w:val="both"/>
      </w:pPr>
      <w:r>
        <w:t>Оптимальная структура системы здравоохранения и высокая эффективность работы каждой медицинской организации являются необходимым условием создания эффективной системы здравоохранения. Одним из основных компонентов реформирования отрасли здравоохранения является оплата труда, которая рассматривается в современных условиях как инструмент управления персоналом в целях повышения качества оказываемых населению медицинских услуг.</w:t>
      </w:r>
    </w:p>
    <w:p w:rsidR="00034A74" w:rsidRDefault="00034A74">
      <w:pPr>
        <w:pStyle w:val="ConsPlusNormal"/>
        <w:ind w:firstLine="540"/>
        <w:jc w:val="both"/>
      </w:pPr>
      <w:r>
        <w:t>Для привлечения в государственные медицинские организации квалифицированных специалистов и ликвидации оттока медицинских кадров в частные медицинские организации необходимо сформировать условия, позволяющие медицинским работникам государственных медицинских организаций получить конкурентный уровень заработной платы.</w:t>
      </w:r>
    </w:p>
    <w:p w:rsidR="00034A74" w:rsidRDefault="00034A74">
      <w:pPr>
        <w:pStyle w:val="ConsPlusNormal"/>
        <w:ind w:firstLine="540"/>
        <w:jc w:val="both"/>
      </w:pPr>
      <w:r>
        <w:t xml:space="preserve">Вместе с тем для установления действенных </w:t>
      </w:r>
      <w:proofErr w:type="gramStart"/>
      <w:r>
        <w:t>механизмов зависимости уровня оплаты труда работников медицинских организаций</w:t>
      </w:r>
      <w:proofErr w:type="gramEnd"/>
      <w:r>
        <w:t xml:space="preserve"> от объема и качества предоставляемых медицинских услуг (обеспечения предоставления медицинских услуг) необходим перевод медицинских работников на эффективный контракт.</w:t>
      </w:r>
    </w:p>
    <w:p w:rsidR="00034A74" w:rsidRDefault="00034A74">
      <w:pPr>
        <w:pStyle w:val="ConsPlusNormal"/>
        <w:ind w:firstLine="540"/>
        <w:jc w:val="both"/>
      </w:pPr>
      <w:r>
        <w:t xml:space="preserve">Под эффективным контрактом понимается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</w:t>
      </w:r>
      <w:r>
        <w:lastRenderedPageBreak/>
        <w:t>результатов труда и качества оказываемых государственных услуг, а также меры социальной поддержки.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034A74" w:rsidRDefault="00034A74">
      <w:pPr>
        <w:pStyle w:val="ConsPlusNormal"/>
        <w:ind w:firstLine="540"/>
        <w:jc w:val="both"/>
      </w:pPr>
      <w:r>
        <w:t>Заключение эффективного контракта со специалистами медицинских организаций позволит повысить эффективность медицинских работников, административно-хозяйственного и административно-управленческого персонала учреждений здравоохранения.</w:t>
      </w:r>
    </w:p>
    <w:p w:rsidR="00034A74" w:rsidRDefault="00034A74">
      <w:pPr>
        <w:pStyle w:val="ConsPlusNormal"/>
        <w:ind w:firstLine="540"/>
        <w:jc w:val="both"/>
      </w:pPr>
      <w:r>
        <w:t>Социальной эффективностью реализации "дорожной карты" является установление действенных механизмов оценки деятельности медицинских работников и соответствия уровня оплаты труда качеству труда. Таким образом, эффективный контракт призван обеспечить соответствие роста заработной платы работников повышению качества оказываемых ими государственных услуг (выполнение работ).</w:t>
      </w:r>
    </w:p>
    <w:p w:rsidR="00034A74" w:rsidRDefault="00034A74">
      <w:pPr>
        <w:pStyle w:val="ConsPlusNormal"/>
        <w:ind w:firstLine="540"/>
        <w:jc w:val="both"/>
      </w:pPr>
      <w:r>
        <w:t>"Дорожная карта" предусматривает внесение соответствующих изменений в порядки оказания медицинской помощи, разработку и внедрение показателей эффективности деятельности медицинских организаций, разработку программ развития здравоохранения Кабардино-Балкарской Республики, направленных на достижение целевых индикаторов отрасли здравоохранения.</w:t>
      </w:r>
    </w:p>
    <w:p w:rsidR="00034A74" w:rsidRDefault="00034A74">
      <w:pPr>
        <w:pStyle w:val="ConsPlusNormal"/>
        <w:ind w:firstLine="540"/>
        <w:jc w:val="both"/>
      </w:pPr>
      <w:r>
        <w:t xml:space="preserve">Результатом успешной реализации "дорожной карты" является выполнение целевых показателей структурных преобразований системы оказания медицинской помощи, основных показателей здоровья населения и уровня заработной платы работников медицинских организаций, предусмотренных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политики".</w:t>
      </w:r>
    </w:p>
    <w:p w:rsidR="00034A74" w:rsidRDefault="00034A74">
      <w:pPr>
        <w:pStyle w:val="ConsPlusNormal"/>
        <w:ind w:firstLine="540"/>
        <w:jc w:val="both"/>
      </w:pPr>
      <w:r>
        <w:t>Достижение стратегической цели развития здравоохранения в Кабардино-Балкарской Республике к 2018 году будет характеризоваться снижением значений следующих целевых индикаторов: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смертность от всех причин - до 8,5 случая на 1000 населения;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 xml:space="preserve">- младенческая смертность - до 6,3 случая на 1000 </w:t>
      </w:r>
      <w:proofErr w:type="gramStart"/>
      <w:r>
        <w:t>родившихся</w:t>
      </w:r>
      <w:proofErr w:type="gramEnd"/>
      <w:r>
        <w:t xml:space="preserve"> живыми;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материнская смертность - до 7,0 случаев на 100 тыс. родившихся живыми;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смертность от болезней системы кровообращения - до 525,0 случаев на 100 тыс. населения;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смертность от дорожно-транспортных происшествий - до 6,2 случая на 100 тыс. населения;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proofErr w:type="gramStart"/>
      <w:r>
        <w:t>- смертность от новообразований (в том числе от злокачественных) - до 130,2 случая на 100 тыс. населения;</w:t>
      </w:r>
      <w:proofErr w:type="gramEnd"/>
    </w:p>
    <w:p w:rsidR="00034A74" w:rsidRDefault="00034A7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смертность от туберкулеза - до 9,4 случая на 100 тыс. населения;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количество зарегистрированных больных с диагнозом, установленным впервые в жизни, - активный туберкулез (на 100 тыс. населения) - до 32,0 человек.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К 2018 году - повышение значений следующих целевых индикаторов: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ожидаемая продолжительность жизни при рождении до 76,7 лет;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обеспеченность врачами до 37,1 на 10 тысяч населения;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>- соотношение врачей и среднего медицинского персонала до 1:2,8;</w:t>
      </w:r>
    </w:p>
    <w:p w:rsidR="00034A74" w:rsidRDefault="00034A74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Распоряжения</w:t>
        </w:r>
      </w:hyperlink>
      <w:r>
        <w:t xml:space="preserve"> Правительства КБР от 04.07.2014 N 428-рп)</w:t>
      </w:r>
    </w:p>
    <w:p w:rsidR="00034A74" w:rsidRDefault="00034A74">
      <w:pPr>
        <w:pStyle w:val="ConsPlusNormal"/>
        <w:ind w:firstLine="540"/>
        <w:jc w:val="both"/>
      </w:pPr>
      <w:r>
        <w:t xml:space="preserve">- средняя заработная плата врачей и работников медицинских организаций, имеющих </w:t>
      </w:r>
      <w:r>
        <w:lastRenderedPageBreak/>
        <w:t>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- до 200% от средней заработной платы в Кабардино-Балкарской Республике;</w:t>
      </w:r>
    </w:p>
    <w:p w:rsidR="00034A74" w:rsidRDefault="00034A74">
      <w:pPr>
        <w:pStyle w:val="ConsPlusNormal"/>
        <w:ind w:firstLine="540"/>
        <w:jc w:val="both"/>
      </w:pPr>
      <w:r>
        <w:t>- 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- до 100% от средней заработной платы в Кабардино-Балкарской Республике;</w:t>
      </w:r>
    </w:p>
    <w:p w:rsidR="00034A74" w:rsidRDefault="00034A74">
      <w:pPr>
        <w:pStyle w:val="ConsPlusNormal"/>
        <w:ind w:firstLine="540"/>
        <w:jc w:val="both"/>
      </w:pPr>
      <w:r>
        <w:t>- средняя заработная плата младшего медицинского персонала (персонала, обеспечивающего условия для предоставления медицинских услуг) - до 100% от средней заработной платы в Кабардино-Балкарской Республике.</w:t>
      </w:r>
    </w:p>
    <w:p w:rsidR="00034A74" w:rsidRDefault="00034A74">
      <w:pPr>
        <w:sectPr w:rsidR="00034A74" w:rsidSect="00FC6E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right"/>
      </w:pPr>
      <w:r>
        <w:t>Таблица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center"/>
      </w:pPr>
      <w:proofErr w:type="gramStart"/>
      <w:r>
        <w:t xml:space="preserve">(в ред. </w:t>
      </w:r>
      <w:hyperlink r:id="rId38" w:history="1">
        <w:r>
          <w:rPr>
            <w:color w:val="0000FF"/>
          </w:rPr>
          <w:t>Распоряжения</w:t>
        </w:r>
      </w:hyperlink>
      <w:r>
        <w:t xml:space="preserve"> Правительства КБР</w:t>
      </w:r>
      <w:proofErr w:type="gramEnd"/>
    </w:p>
    <w:p w:rsidR="00034A74" w:rsidRDefault="00034A74">
      <w:pPr>
        <w:pStyle w:val="ConsPlusNormal"/>
        <w:jc w:val="center"/>
      </w:pPr>
      <w:r>
        <w:t>от 04.07.2014 N 428-рп)</w:t>
      </w:r>
    </w:p>
    <w:p w:rsidR="00034A74" w:rsidRDefault="00034A74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669"/>
        <w:gridCol w:w="1757"/>
        <w:gridCol w:w="907"/>
        <w:gridCol w:w="907"/>
        <w:gridCol w:w="907"/>
        <w:gridCol w:w="907"/>
        <w:gridCol w:w="907"/>
        <w:gridCol w:w="907"/>
      </w:tblGrid>
      <w:tr w:rsidR="00034A74">
        <w:tc>
          <w:tcPr>
            <w:tcW w:w="737" w:type="dxa"/>
          </w:tcPr>
          <w:p w:rsidR="00034A74" w:rsidRDefault="00034A74">
            <w:pPr>
              <w:pStyle w:val="ConsPlusNormal"/>
            </w:pPr>
          </w:p>
        </w:tc>
        <w:tc>
          <w:tcPr>
            <w:tcW w:w="5669" w:type="dxa"/>
          </w:tcPr>
          <w:p w:rsidR="00034A74" w:rsidRDefault="00034A74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2018 год</w:t>
            </w:r>
          </w:p>
        </w:tc>
      </w:tr>
      <w:tr w:rsidR="00034A74">
        <w:tc>
          <w:tcPr>
            <w:tcW w:w="13605" w:type="dxa"/>
            <w:gridSpan w:val="9"/>
          </w:tcPr>
          <w:p w:rsidR="00034A74" w:rsidRDefault="00034A74">
            <w:pPr>
              <w:pStyle w:val="ConsPlusNormal"/>
              <w:jc w:val="center"/>
            </w:pPr>
            <w:r>
              <w:t>Показатели структурных преобразований системы оказания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 xml:space="preserve">Доля расходов </w:t>
            </w:r>
            <w:proofErr w:type="gramStart"/>
            <w:r>
              <w:t>на оказание скорой медицинской помощи вне медицинских организаций от всех расходов на Программу государственных гарантий оказания гражданам в Кабардино-Балкарской Республике</w:t>
            </w:r>
            <w:proofErr w:type="gramEnd"/>
            <w:r>
              <w:t xml:space="preserve"> бесплатной медицинской помощи (далее - Программа государственных гарантий)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4,9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Доля расходов на оказание медицинской помощи в амбулаторных условиях от всех расходов на Программу государственных гарантий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31,9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 xml:space="preserve">Доля расходов </w:t>
            </w:r>
            <w:proofErr w:type="gramStart"/>
            <w:r>
              <w:t>на оказание медицинской помощи в амбулаторных условиях в неотложной форме от всех расходов на Программу</w:t>
            </w:r>
            <w:proofErr w:type="gramEnd"/>
            <w:r>
              <w:t xml:space="preserve"> государственных гарантий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3,3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Доля расходов на оказание медицинской помощи в условиях дневных стационаров от всех расходов на Программу государственных гарантий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8,5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Доля расходов на оказание медицинской помощи в стационарных условиях от всех расходов на Программу государственных гарантий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58,7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53,2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51,4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 xml:space="preserve">Доля медицинских и фармацевтических работников, </w:t>
            </w:r>
            <w:r>
              <w:lastRenderedPageBreak/>
              <w:t>обучающихся в рамках целевой подготовки, трудоустроившихся после завершения обучения в медицинские организации государственной системы здравоохранения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97,0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100,0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Доля аккредитованных специалистов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</w:pPr>
          </w:p>
        </w:tc>
        <w:tc>
          <w:tcPr>
            <w:tcW w:w="907" w:type="dxa"/>
          </w:tcPr>
          <w:p w:rsidR="00034A74" w:rsidRDefault="00034A74">
            <w:pPr>
              <w:pStyle w:val="ConsPlusNormal"/>
            </w:pPr>
          </w:p>
        </w:tc>
        <w:tc>
          <w:tcPr>
            <w:tcW w:w="907" w:type="dxa"/>
          </w:tcPr>
          <w:p w:rsidR="00034A74" w:rsidRDefault="00034A74">
            <w:pPr>
              <w:pStyle w:val="ConsPlusNormal"/>
            </w:pPr>
          </w:p>
        </w:tc>
        <w:tc>
          <w:tcPr>
            <w:tcW w:w="907" w:type="dxa"/>
          </w:tcPr>
          <w:p w:rsidR="00034A74" w:rsidRDefault="00034A74">
            <w:pPr>
              <w:pStyle w:val="ConsPlusNormal"/>
            </w:pP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40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Обеспеченность населения (на 10,0 тыс. чел.) врачами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37,1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Соотношение врачей и среднего медицинского персонала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</w:pP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1/2,5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1/2,5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1/2,6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1/2,7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1/2,8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1/2,8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Соотношение средней заработной платы врачей и иных работников медицинских организаций, имеющих высшее медицинское (фармацевтическое) образование или иное высшее профессиональное образование, предоставляющих медицинские услуги (обеспечивающих предоставление медицинских услуг) и средней заработной платы в Кабардино-Балкарской Республике в 2013 - 2018 годах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129,7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130,7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200,0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платы в Кабардино-Балкарской Республике в 2013 - 2018 годах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100,0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Кабардино-Балкарской Республике в 2013 - 2018 годах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100,0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Число дней работы койки в году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323,0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331,0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331,0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332,0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333,0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Средняя длительность лечения больного в стационаре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11,5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Число коек круглосуточных стационаров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7717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7522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7362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7232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7222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7217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Число коек дневных стационаров, из них: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1713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в амбулаториях и поликлиниках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991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Доля врачей первичного звена от общего числа врачей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62,9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34,7</w:t>
            </w:r>
          </w:p>
        </w:tc>
      </w:tr>
      <w:tr w:rsidR="00034A74">
        <w:tc>
          <w:tcPr>
            <w:tcW w:w="13605" w:type="dxa"/>
            <w:gridSpan w:val="9"/>
          </w:tcPr>
          <w:p w:rsidR="00034A74" w:rsidRDefault="00034A74">
            <w:pPr>
              <w:pStyle w:val="ConsPlusNormal"/>
              <w:jc w:val="center"/>
            </w:pPr>
            <w:r>
              <w:t>Основные показатели здоровья населения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Ожидаемая продолжительность жизни при рождении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лет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73,2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75,3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76,7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Смертность от всех причин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на 1000 населения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8,5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Материнская смертность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случаев на 100 тыс. родившихся живыми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Младенческая смертность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случаев на 1000 родившихся живыми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6,3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Смертность детей в возрасте 0 - 17 лет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случаев на 100000 населения соответствующего возраста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70,0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Смертность от болезней системы кровообращения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на 100 тыс. населения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545,5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542,0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541,0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539,0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530,0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525,0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Смертность от дорожно-транспортных происшествий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на 100 тыс. населения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6,2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Смертность от новообразований (в том числе злокачественных)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на 100 тыс. населения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135,5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134,2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131,0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130,2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Смертность от туберкулеза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на 100 тыс. населения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9,4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Количество зарегистрированных больных с диагнозом, установленным впервые в жизни, - активный туберкулез (на 100 тыс. населения)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32,0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</w:tcPr>
          <w:p w:rsidR="00034A74" w:rsidRDefault="00034A74">
            <w:pPr>
              <w:pStyle w:val="ConsPlusNormal"/>
            </w:pPr>
            <w:r>
              <w:t>Доля выезда бригад скорой медицинской помощи со временем доезда до больного менее 20 минут</w:t>
            </w:r>
          </w:p>
        </w:tc>
        <w:tc>
          <w:tcPr>
            <w:tcW w:w="1757" w:type="dxa"/>
          </w:tcPr>
          <w:p w:rsidR="00034A74" w:rsidRDefault="00034A74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88,5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91,8</w:t>
            </w:r>
          </w:p>
        </w:tc>
        <w:tc>
          <w:tcPr>
            <w:tcW w:w="907" w:type="dxa"/>
          </w:tcPr>
          <w:p w:rsidR="00034A74" w:rsidRDefault="00034A74">
            <w:pPr>
              <w:pStyle w:val="ConsPlusNormal"/>
              <w:jc w:val="center"/>
            </w:pPr>
            <w:r>
              <w:t>93,7</w:t>
            </w:r>
          </w:p>
        </w:tc>
      </w:tr>
    </w:tbl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center"/>
      </w:pPr>
      <w:r>
        <w:t>II. План мероприятий</w:t>
      </w: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center"/>
      </w:pPr>
      <w:proofErr w:type="gramStart"/>
      <w:r>
        <w:t xml:space="preserve">(в ред. </w:t>
      </w:r>
      <w:hyperlink r:id="rId39" w:history="1">
        <w:r>
          <w:rPr>
            <w:color w:val="0000FF"/>
          </w:rPr>
          <w:t>Распоряжения</w:t>
        </w:r>
      </w:hyperlink>
      <w:r>
        <w:t xml:space="preserve"> Правительства КБР</w:t>
      </w:r>
      <w:proofErr w:type="gramEnd"/>
    </w:p>
    <w:p w:rsidR="00034A74" w:rsidRDefault="00034A74">
      <w:pPr>
        <w:pStyle w:val="ConsPlusNormal"/>
        <w:jc w:val="center"/>
      </w:pPr>
      <w:r>
        <w:t>от 04.07.2014 N 428-рп)</w:t>
      </w:r>
    </w:p>
    <w:p w:rsidR="00034A74" w:rsidRDefault="00034A74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969"/>
        <w:gridCol w:w="1701"/>
        <w:gridCol w:w="1984"/>
        <w:gridCol w:w="5159"/>
      </w:tblGrid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034A74">
        <w:tc>
          <w:tcPr>
            <w:tcW w:w="13550" w:type="dxa"/>
            <w:gridSpan w:val="5"/>
          </w:tcPr>
          <w:p w:rsidR="00034A74" w:rsidRDefault="00034A74">
            <w:pPr>
              <w:pStyle w:val="ConsPlusNormal"/>
              <w:jc w:val="center"/>
            </w:pPr>
            <w:r>
              <w:t>Формирование эффективной структуры здравоохранения в Кабардино-Балкарской Республике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Анализ </w:t>
            </w:r>
            <w:proofErr w:type="gramStart"/>
            <w:r>
              <w:t>итогов реализации Программы модернизации системы здравоохранения</w:t>
            </w:r>
            <w:proofErr w:type="gramEnd"/>
            <w:r>
              <w:t xml:space="preserve"> в Кабардино-Балкарской Республике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11 марта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Анализ итогов модернизации системы здравоохранения в Кабардино-Балкарской Республике с точки зрения соотношения инвестиций и улучшения состояния здоровья населения.</w:t>
            </w:r>
          </w:p>
          <w:p w:rsidR="00034A74" w:rsidRDefault="00034A74">
            <w:pPr>
              <w:pStyle w:val="ConsPlusNormal"/>
            </w:pPr>
            <w:r>
              <w:t xml:space="preserve">Представление результатов анализа, итогов </w:t>
            </w:r>
            <w:proofErr w:type="gramStart"/>
            <w:r>
              <w:t>реализации Программы модернизации системы здравоохранения</w:t>
            </w:r>
            <w:proofErr w:type="gramEnd"/>
            <w:r>
              <w:t xml:space="preserve"> в Кабардино-Балкарской Республике в Минздрав России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Анализ соответствия структуры расходов по условиям и формам оказания медицинской помощи в Кабардино-Балкарской Республике целевой структуре расходов на здравоохранение, определенной на 2018 год </w:t>
            </w:r>
            <w:hyperlink r:id="rId4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Федерации от 28 декабря 2012 г. N 2599-р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11 марта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Определение направления необходимых изменений, направленных на формирование сбалансированной по видам и условиям оказания медицинской помощи. Представление в Минздрав </w:t>
            </w:r>
            <w:proofErr w:type="gramStart"/>
            <w:r>
              <w:t>России результатов анализа соответствия структуры расходов</w:t>
            </w:r>
            <w:proofErr w:type="gramEnd"/>
            <w:r>
              <w:t xml:space="preserve"> по условиям и формам оказания медицинской помощи в Кабардино-Балкарской Республике целевой структуре расходов на здравоохранение, определенной на 2018 год </w:t>
            </w:r>
            <w:hyperlink r:id="rId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Российской Федерации от 28 декабря 2012 г. N 2599-р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Структурные преобразования системы оказания медицинской помощи в Кабардино-Балкарской Республике с учетом проведенного анализа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Улучшение эффективности и качества медицинской помощи.</w:t>
            </w:r>
          </w:p>
          <w:p w:rsidR="00034A74" w:rsidRDefault="00034A74">
            <w:pPr>
              <w:pStyle w:val="ConsPlusNormal"/>
            </w:pPr>
            <w:r>
              <w:t xml:space="preserve">Минздравом КБР проведен анализ рационального использования коечного фонда, в </w:t>
            </w:r>
            <w:proofErr w:type="gramStart"/>
            <w:r>
              <w:t>связи</w:t>
            </w:r>
            <w:proofErr w:type="gramEnd"/>
            <w:r>
              <w:t xml:space="preserve"> с чем в соответствии с Приказом Минздрава КБР от 31.10.2013 N 215-П сокращены 122 круглосуточные койки, 55 круглосуточных коек преобразованы в малозатратные стационарозамещающие койки по состоянию на 1 января 2014 г. коечный фонд в Кабардино-Балкарской Республике ниже федерального норматива и составляет 7595 круглосуточных коек. К 2018 году количество круглосуточных коек планируется довести до 7445, коек дневного стационара до 2000 (факт по состоянию на 1 января 2014 г. - 1296).</w:t>
            </w:r>
          </w:p>
          <w:p w:rsidR="00034A74" w:rsidRDefault="00034A74">
            <w:pPr>
              <w:pStyle w:val="ConsPlusNormal"/>
            </w:pPr>
            <w:r>
              <w:t>В 2014 году объем государственного задания по неотложной медицинской помощи увеличен в сравнении с 2013 годом в 6,4 раза с 23545 посещений до 150000. Пункты неотложной помощи созданы во всех муниципальных районах республики при центральных районных больницах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Выполнение показателей структурных преобразований системы оказания медицинской помощи, согласованных с Министерством здравоохранения Российской Федерации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Улучшение эффективности и качества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Анализ соответствия штатной численности персонала медицинских организаций в Кабардино-Балкарской Республике порядкам оказания медицинской помощи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11 марта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Определение дефицита (избыток) работников в штате медицинских организаций с точки зрения соответствия порядкам оказания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Мониторинг заполнения вакантных должностей (работа со службой занятости, выпускниками медицинских вузов с целью привлечения высококвалифицированных специалистов; проведение анализа и прогнозирования кадровой обеспеченности)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Заполнение вакантных должностей квалифицированными кадрами, повышение и совершенствование профессионального уровня медицинских кадров в целях повышения качества предоставления услуг, закрепление кадров в государственных учреждениях здравоохранения, адаптация сотрудников в сфере здравоохранения, повышение мотивации к труду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Анализ соответствия материально-технического оснащения медицинских организаций в Кабардино-Балкарской Республике порядкам оказания медицинской помощи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20 марта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Определение дефицита (избыток) материально-технического оснащения медицинских организаций с точки зрения соответствия порядкам оказания медицинской помощи.</w:t>
            </w:r>
          </w:p>
          <w:p w:rsidR="00034A74" w:rsidRDefault="00034A74">
            <w:pPr>
              <w:pStyle w:val="ConsPlusNormal"/>
            </w:pPr>
            <w:r>
              <w:t xml:space="preserve">Представление в Минздрав </w:t>
            </w:r>
            <w:proofErr w:type="gramStart"/>
            <w:r>
              <w:t>России результатов анализа соответствия материально-технического оснащения медицинских организаций</w:t>
            </w:r>
            <w:proofErr w:type="gramEnd"/>
            <w:r>
              <w:t xml:space="preserve"> в Кабардино-Балкарской Республике порядкам оказания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Анализ </w:t>
            </w:r>
            <w:proofErr w:type="gramStart"/>
            <w:r>
              <w:t>соответствия нормативов обеспечения льготных категорий граждан</w:t>
            </w:r>
            <w:proofErr w:type="gramEnd"/>
            <w:r>
              <w:t xml:space="preserve"> лекарственными препаратами </w:t>
            </w:r>
            <w:r>
              <w:lastRenderedPageBreak/>
              <w:t>и медицинскими изделиями стандартам оказания медицинской помощи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20 марта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Будет выявлена неудовлетворенная потребность в обеспечении льготных категорий граждан лекарственными средствами и медицинскими </w:t>
            </w:r>
            <w:r>
              <w:lastRenderedPageBreak/>
              <w:t>изделиями.</w:t>
            </w:r>
          </w:p>
          <w:p w:rsidR="00034A74" w:rsidRDefault="00034A74">
            <w:pPr>
              <w:pStyle w:val="ConsPlusNormal"/>
            </w:pPr>
            <w:r>
              <w:t xml:space="preserve">Представление в Минздрав </w:t>
            </w:r>
            <w:proofErr w:type="gramStart"/>
            <w:r>
              <w:t>России результатов анализа соответствия нормативов обеспечения льготных категорий граждан</w:t>
            </w:r>
            <w:proofErr w:type="gramEnd"/>
            <w:r>
              <w:t xml:space="preserve"> лекарственными препаратами и медицинскими изделиями стандартам оказания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Разработка республиканской концепции развития государственно-частного партнерства в сфере здравоохранения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1 апреля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Утверждение концепции развития государственно-частного партнерства в сфере здравоохранения, результатом реализации которой должно стать привлечение негосударственных организаций к оказанию медицинской помощи в соответствии с моделью ресурсного обеспечения системы здравоохранения в Кабардино-Балкарской Республике</w:t>
            </w:r>
          </w:p>
        </w:tc>
      </w:tr>
      <w:tr w:rsidR="00034A74">
        <w:tblPrEx>
          <w:tblBorders>
            <w:insideH w:val="nil"/>
          </w:tblBorders>
        </w:tblPrEx>
        <w:tc>
          <w:tcPr>
            <w:tcW w:w="13550" w:type="dxa"/>
            <w:gridSpan w:val="5"/>
            <w:tcBorders>
              <w:bottom w:val="nil"/>
            </w:tcBorders>
          </w:tcPr>
          <w:p w:rsidR="00034A74" w:rsidRDefault="00034A7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034A74" w:rsidRDefault="00034A74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034A74" w:rsidRDefault="00034A74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В официальном тексте документа, видимо, допущена опечатка: возможно, в нижеследующей позиции в графе пятой слова "к оказанию медицинских организаций" - лишние.</w:t>
            </w:r>
          </w:p>
          <w:p w:rsidR="00034A74" w:rsidRDefault="00034A7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034A74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96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  <w:r>
              <w:t xml:space="preserve">Внедрение механизма государственно-частного партнерства в систему медицинского обслуживания населения Кабардино-Балкарской Республики: обеспечение дальнейшего участия частных медицинских организаций в Программе государственных гарантий оказания бесплатной медицинской помощи; привлечение медицинских организаций негосударственных форм собственности, оказывающих медицинские услуги, востребованные в </w:t>
            </w:r>
            <w:r>
              <w:lastRenderedPageBreak/>
              <w:t>республике</w:t>
            </w:r>
          </w:p>
        </w:tc>
        <w:tc>
          <w:tcPr>
            <w:tcW w:w="1701" w:type="dxa"/>
            <w:tcBorders>
              <w:top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  <w:tcBorders>
              <w:top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  <w:r>
              <w:t>Привлечение негосударственных организаций к оказанию медицинских организаций к оказанию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Оценка возможности перевода непрофильных функций в государственных учреждениях здравоохранения на условиях аутсорсинга (анализ, поиск организаций, заключение соответствующих договоров)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Сокращение неэффективных расходов. Лечебно-профилактическими учреждениями разработаны планы мероприятий по оптимизации расходов ("дорожные карты") "Изменения в учреждении здравоохранения, направленные на повышение эффективности учреждения", которыми предусмотрены мероприятия по оптимизации неэффективных расходов</w:t>
            </w:r>
          </w:p>
          <w:p w:rsidR="00034A74" w:rsidRDefault="00034A74">
            <w:pPr>
              <w:pStyle w:val="ConsPlusNormal"/>
            </w:pPr>
            <w:r>
              <w:t>(включая стоимостную оценку), с указанием сроков реализации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Формирование модели ресурсного обеспечения системы здравоохранения в Кабардино-Балкарской Республике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1 апреля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Модель ресурсного обеспечения системы здравоохранения в Кабардино-Балкарской Республике с указанием всех источников финансирования, в том числе внебюджетных; структура финансирования оказания медицинской помощи, а также обеспечения населения лекарственными средствами и медицинскими изделиями для льготных категорий граждан с указанием всех источников финансирования, в том числе внебюджетных по видам и объемам медицинской помощи. Внедрение эффективных способов оплаты медицинской помощи в рамках территориальных программ обязательного медицинского страхования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Внесение изменений в структуру расходов на здравоохранение с учетом развития стационарозамещающих технологий и неотложной помощи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Снижение неэффективных расходов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Оценка возможности перехода на </w:t>
            </w:r>
            <w:r>
              <w:lastRenderedPageBreak/>
              <w:t>нормативно-подушевое финансирование медицинских организаций, предоставляющих медицинские услуги. Внедрение нормативно-подушевого финансирования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2014 - 2018 годы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Мотивация государственных учреждений </w:t>
            </w:r>
            <w:r>
              <w:lastRenderedPageBreak/>
              <w:t>здравоохранения на снижение неэффективных расходов. Оплата скорой медицинской помощи, предоставляемой вне медицинской организации КБР по месту вызова бригады скорой, в том числе скорой специализированной, медицинской помощи, а также в транспортном средстве при медицинской эвакуации, с 2013 года осуществляется по подушевому нормативу финансирования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Расчет потребности и учет при формировании республиканского бюджета Кабардино-Балкарской Республики расходов на повышение заработной платы медицинским работникам в целях реализации </w:t>
            </w:r>
            <w:hyperlink r:id="rId42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г. N 597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tcBorders>
              <w:bottom w:val="nil"/>
            </w:tcBorders>
          </w:tcPr>
          <w:p w:rsidR="00034A74" w:rsidRDefault="00034A74">
            <w:pPr>
              <w:pStyle w:val="ConsPlusNormal"/>
            </w:pPr>
            <w:r>
              <w:t>Принятие закона о республиканском бюджете КБР на очередной финансовый год и плановый период с учетом средств на повышение заработной платы. Рост средней заработной платы медицинских работников в соответствии с показателями повышения заработной платы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proofErr w:type="gramStart"/>
            <w:r>
              <w:t>Контроль за</w:t>
            </w:r>
            <w:proofErr w:type="gramEnd"/>
            <w:r>
              <w:t xml:space="preserve"> реализацией </w:t>
            </w:r>
            <w:hyperlink r:id="rId43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г. N 597 в части повышения заработной платы отдельным категориям работников - мониторинг средней заработной платы работников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Разработка программы развития здравоохранения в Кабардино-Балкарской Республике с учетом государственной </w:t>
            </w:r>
            <w:hyperlink r:id="rId4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1 мая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Утверждение программы развития здравоохранения в Кабардино-Балкарской Республике до 2020 года, направленной на повышение структурной эффективности, учитывающей региональную структуру заболеваемости и смертности населения, а также состояние инфраструктуры учреждений здравоохранения. Указанные мероприятия направлены на оптимизацию структуры оказания медицинской помощи и будут способствовать </w:t>
            </w:r>
            <w:r>
              <w:lastRenderedPageBreak/>
              <w:t>привлечению средств на повышение заработной платы медицинских работников</w:t>
            </w:r>
          </w:p>
        </w:tc>
      </w:tr>
      <w:tr w:rsidR="00034A74">
        <w:tc>
          <w:tcPr>
            <w:tcW w:w="13550" w:type="dxa"/>
            <w:gridSpan w:val="5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 xml:space="preserve">Формирование эффективной </w:t>
            </w:r>
            <w:proofErr w:type="gramStart"/>
            <w:r>
              <w:t>системы управления оказания медицинской помощи Кабардино-Балкарской Республики</w:t>
            </w:r>
            <w:proofErr w:type="gramEnd"/>
            <w:r>
              <w:t xml:space="preserve"> в медицинских организациях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Внедрение на основе методических </w:t>
            </w:r>
            <w:proofErr w:type="gramStart"/>
            <w:r>
              <w:t>рекомендаций Минздрава России показателей эффективности деятельности государственных медицинских организаций</w:t>
            </w:r>
            <w:proofErr w:type="gramEnd"/>
            <w:r>
              <w:t xml:space="preserve"> в Кабардино-Балкарской Республике, их руководителей и работников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2013 - 2018 годы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Построение системы оценки деятельности медицинских организаций, их руководителей и работников, основанной на единых принципах.</w:t>
            </w:r>
          </w:p>
          <w:p w:rsidR="00034A74" w:rsidRDefault="00034A74">
            <w:pPr>
              <w:pStyle w:val="ConsPlusNormal"/>
            </w:pPr>
            <w:r>
              <w:t xml:space="preserve">В целях </w:t>
            </w:r>
            <w:proofErr w:type="gramStart"/>
            <w:r>
              <w:t>усиления материальной заинтересованности работников государственных учреждений здравоохранения</w:t>
            </w:r>
            <w:proofErr w:type="gramEnd"/>
            <w:r>
              <w:t xml:space="preserve"> республики, роста их квалификации, повышения эффективности труда, улучшения качества оказываемых ими медицинских услуг Минздравом КБР разработан и утвержден </w:t>
            </w:r>
            <w:hyperlink r:id="rId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от 4 марта 2013 г. N 40-П "О материальном стимулировании работников государственных учреждений здравоохранения КБР".</w:t>
            </w:r>
          </w:p>
          <w:p w:rsidR="00034A74" w:rsidRDefault="00034A74">
            <w:pPr>
              <w:pStyle w:val="ConsPlusNormal"/>
            </w:pPr>
            <w:proofErr w:type="gramStart"/>
            <w:r>
              <w:t xml:space="preserve">В целях оценки эффективности работы и условий премирования руководителей государственных учреждений здравоохранения Минздравом КБР разработан и утвержден </w:t>
            </w:r>
            <w:hyperlink r:id="rId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от 2 декабря 2013 г. N 257-П "Об утверждении целевых показателей эффективности деятельности государственных учреждений, находящихся в ведении Министерства здравоохранения и курортов Кабардино-Балкарской Республики, и критериев оценки эффективности работы их руководителей, условий премирования руководителей государственных учреждений, находящихся в ведении Министерства здравоохранения и</w:t>
            </w:r>
            <w:proofErr w:type="gramEnd"/>
            <w:r>
              <w:t xml:space="preserve"> курортов Кабардино-Балкарской Республики"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Мониторинг </w:t>
            </w:r>
            <w:proofErr w:type="gramStart"/>
            <w:r>
              <w:t xml:space="preserve">достижения целевых </w:t>
            </w:r>
            <w:r>
              <w:lastRenderedPageBreak/>
              <w:t>показателей повышения оплаты труда работников</w:t>
            </w:r>
            <w:proofErr w:type="gramEnd"/>
            <w:r>
              <w:t xml:space="preserve"> в соответствии с </w:t>
            </w:r>
            <w:hyperlink r:id="rId47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2012 г. N 597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ежемесячно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Построение системы оценки деятельности </w:t>
            </w:r>
            <w:r>
              <w:lastRenderedPageBreak/>
              <w:t>работников, основанной на единых принципах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Профессиональная переподготовка врачей, в том числе на базе ФГБОУ ВПО "Кабардино-Балкарский государственный университет им. Х.М. Бербекова"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vMerge w:val="restart"/>
          </w:tcPr>
          <w:p w:rsidR="00034A74" w:rsidRDefault="00034A74">
            <w:pPr>
              <w:pStyle w:val="ConsPlusNormal"/>
            </w:pPr>
            <w:r>
              <w:t xml:space="preserve">Создание условий для повышения уровня теоретических знаний, совершенствования практических навыков и умений медицинских работников, создание условий для соответствия квалификации медицинских работников профессиональным стандартам, обеспечение непрерывности и преемственности процесса образования, создание условий для равной доступности дополнительного профессионального образования, определение уровня профессиональной квалификации медицинских работников, создание условий для последующей аккредитации медицинских работников. Повышение квалификации предусмотрено Государственной </w:t>
            </w:r>
            <w:hyperlink r:id="rId48" w:history="1">
              <w:r>
                <w:rPr>
                  <w:color w:val="0000FF"/>
                </w:rPr>
                <w:t>программой</w:t>
              </w:r>
            </w:hyperlink>
            <w:r>
              <w:t xml:space="preserve"> "Развитие здравоохранения в Кабардино-Балкарской Республике" до 2020 года, утвержденной Постановлением Правительства Кабардино-Балкарской Республики от 30 апреля 2013 г. N 136-ПП, </w:t>
            </w:r>
            <w:hyperlink r:id="rId49" w:history="1">
              <w:r>
                <w:rPr>
                  <w:color w:val="0000FF"/>
                </w:rPr>
                <w:t>подпрограммой</w:t>
              </w:r>
            </w:hyperlink>
            <w:r>
              <w:t xml:space="preserve"> "Кадровое обеспечение системы здравоохранения"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Подготовка специалистов по программам среднего медицинского образования, в том числе на базе медицинского колледжа ФГБОУ ВПО "Кабардино-Балкарский государственный университет им. Х.М. Бербекова"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vMerge/>
          </w:tcPr>
          <w:p w:rsidR="00034A74" w:rsidRDefault="00034A74"/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Повышение квалификации медицинских работников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КБР, лечебно-профилактические учреждения</w:t>
            </w:r>
          </w:p>
        </w:tc>
        <w:tc>
          <w:tcPr>
            <w:tcW w:w="5159" w:type="dxa"/>
            <w:vMerge/>
          </w:tcPr>
          <w:p w:rsidR="00034A74" w:rsidRDefault="00034A74"/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Проведение разъяснительной работы в медицинских организациях с участием профсоюзных организаций об этапах проведения мероприятий по повышению оплаты труда должностей, попадающих под действие </w:t>
            </w:r>
            <w:hyperlink r:id="rId50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РФ от 7 мая 2012 г. N 597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Создание условий для перевода медицинских работников на эффективный контракт. Проведение разъяснительной работы </w:t>
            </w:r>
            <w:proofErr w:type="gramStart"/>
            <w:r>
              <w:t>с участием профсоюзных организаций в трудовых коллективах при отборе кандидатов для перевода на эффективный контракт</w:t>
            </w:r>
            <w:proofErr w:type="gramEnd"/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14.1.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Обсуждение хода реализации "дорожной карты" на заседаниях региональной трехсторонней комиссии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Повышение информированности работников медицинских организаций.</w:t>
            </w:r>
          </w:p>
          <w:p w:rsidR="00034A74" w:rsidRDefault="00034A74">
            <w:pPr>
              <w:pStyle w:val="ConsPlusNormal"/>
            </w:pPr>
            <w:r>
              <w:t>Доступность к информации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Заключение трудовых договоров с вновь принятыми руководителями государственных организаций на основе типовой формы, утверждаемой Правительством Российской Федерации в соответствии со </w:t>
            </w:r>
            <w:hyperlink r:id="rId51" w:history="1">
              <w:r>
                <w:rPr>
                  <w:color w:val="0000FF"/>
                </w:rPr>
                <w:t>статьей 275</w:t>
              </w:r>
            </w:hyperlink>
            <w:r>
              <w:t xml:space="preserve"> Трудового кодекса Российской Федерации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далее постоянно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Создание условий для повышения эффективности работы административно-управленческого персонала. По состоянию на 01.01.2014 количество фактически заключенных дополнительных соглашений к трудовым договорам (эффективных контрактов) с руководителями - 62 (100%), с работниками государственных медицинских организаций - 70%</w:t>
            </w:r>
          </w:p>
        </w:tc>
      </w:tr>
      <w:tr w:rsidR="00034A74">
        <w:tblPrEx>
          <w:tblBorders>
            <w:insideH w:val="nil"/>
          </w:tblBorders>
        </w:tblPrEx>
        <w:tc>
          <w:tcPr>
            <w:tcW w:w="13550" w:type="dxa"/>
            <w:gridSpan w:val="5"/>
            <w:tcBorders>
              <w:bottom w:val="nil"/>
            </w:tcBorders>
          </w:tcPr>
          <w:p w:rsidR="00034A74" w:rsidRDefault="00034A7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034A74" w:rsidRDefault="00034A74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034A74" w:rsidRDefault="00034A74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В официальном тексте документа, видимо, допущена опечатка: возможно, во второй графе нижеследующей позиции имеется в виду Указ Президента РФ от 7 мая 2012 г. N 597 "О мероприятиях по реализации государственной социальной политики".</w:t>
            </w:r>
          </w:p>
          <w:p w:rsidR="00034A74" w:rsidRDefault="00034A7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034A74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  <w:r>
              <w:t xml:space="preserve">Внесение изменений </w:t>
            </w:r>
            <w:proofErr w:type="gramStart"/>
            <w:r>
              <w:t xml:space="preserve">в Положение об оплате труда работников государственных учреждений здравоохранения в части достижения показателей повышения оплаты труда в соответствии с </w:t>
            </w:r>
            <w:hyperlink r:id="rId52" w:history="1">
              <w:r>
                <w:rPr>
                  <w:color w:val="0000FF"/>
                </w:rPr>
                <w:t>Указом</w:t>
              </w:r>
              <w:proofErr w:type="gramEnd"/>
            </w:hyperlink>
            <w:r>
              <w:t xml:space="preserve"> Президента РФ от 7 мая 2012 г.</w:t>
            </w:r>
          </w:p>
        </w:tc>
        <w:tc>
          <w:tcPr>
            <w:tcW w:w="1701" w:type="dxa"/>
            <w:tcBorders>
              <w:top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2 квартал 2014 г.</w:t>
            </w:r>
          </w:p>
        </w:tc>
        <w:tc>
          <w:tcPr>
            <w:tcW w:w="1984" w:type="dxa"/>
            <w:tcBorders>
              <w:top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  <w:r>
              <w:t>Усиление материальной заинтересованности работников государственных учреждений здравоохранения республики, роста их квалификации, повышения эффективности труда, улучшения качества оказываемых ими медицинских услуг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Проведение мероприятий по оптимизации штатных расписаний государственных учреждений здравоохранения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Направление высвободившихся средств на повышение оплаты труда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Актуализация положений о структурных подразделениях и должностных инструкций работников медицинских </w:t>
            </w:r>
            <w:r>
              <w:lastRenderedPageBreak/>
              <w:t>организаций в соответствии с возложенными полномочиями и трудовыми обязанностями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Создание условий, обеспечивающих внедрение эффективных контрактов в медицинских организациях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proofErr w:type="gramStart"/>
            <w:r>
              <w:t>Обучение руководителей (ответственных работников) по переводу на эффективный контракт) работников медицинских организаций</w:t>
            </w:r>
            <w:proofErr w:type="gramEnd"/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постоянно при необходимости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Создание условий для перевода медицинских работников на эффективный контракт. Повышение квалификации ответственных работников Министерства здравоохранения и медицинских организаций, занимающихся вопросами оплаты труда и трудовых отношений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Проведение в 2014 году подготовительной работы к внедрению с 2015 года профессиональных стандартов с проведением мероприятий по повышению квалификации и переподготовке работников сферы здравоохранения с целью обеспечения соответствия работников современным квалификационным требованиям, в том числе работников государственных учреждений, занимающихся вопросами трудовых отношений и оплаты труда работников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3 - 4 кварталы 2014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Обеспечение соответствия работников современным квалификационным требованиям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Внедрение профессиональных стандартов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2015 - 2018 годы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Обеспечение соответствия работников современным квалификационным требованиям</w:t>
            </w:r>
          </w:p>
        </w:tc>
      </w:tr>
      <w:tr w:rsidR="00034A7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bottom w:val="nil"/>
            </w:tcBorders>
          </w:tcPr>
          <w:p w:rsidR="00034A74" w:rsidRDefault="00034A74">
            <w:pPr>
              <w:pStyle w:val="ConsPlusNormal"/>
            </w:pPr>
            <w:r>
              <w:t>Обеспечение перевода работников государственных медицинских организаций на эффективный контракт</w:t>
            </w:r>
          </w:p>
        </w:tc>
        <w:tc>
          <w:tcPr>
            <w:tcW w:w="1701" w:type="dxa"/>
            <w:tcBorders>
              <w:bottom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2 квартал 2014 г.</w:t>
            </w:r>
          </w:p>
        </w:tc>
        <w:tc>
          <w:tcPr>
            <w:tcW w:w="1984" w:type="dxa"/>
            <w:tcBorders>
              <w:bottom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tcBorders>
              <w:bottom w:val="nil"/>
            </w:tcBorders>
          </w:tcPr>
          <w:p w:rsidR="00034A74" w:rsidRDefault="00034A74">
            <w:pPr>
              <w:pStyle w:val="ConsPlusNormal"/>
            </w:pPr>
            <w:r>
              <w:t xml:space="preserve">Создание условий для перевода медицинских работников на эффективный контракт. Введение эффективного контракта будет основываться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034A74" w:rsidRDefault="00034A74">
            <w:pPr>
              <w:pStyle w:val="ConsPlusNormal"/>
            </w:pPr>
            <w:r>
              <w:t xml:space="preserve">1) </w:t>
            </w:r>
            <w:proofErr w:type="gramStart"/>
            <w:r>
              <w:t>наличии</w:t>
            </w:r>
            <w:proofErr w:type="gramEnd"/>
            <w:r>
              <w:t xml:space="preserve"> у учреждения государственного задания и целевых показателей эффективности работы, </w:t>
            </w:r>
            <w:r>
              <w:lastRenderedPageBreak/>
              <w:t>утвержденных учредителем;</w:t>
            </w:r>
          </w:p>
          <w:p w:rsidR="00034A74" w:rsidRDefault="00034A74">
            <w:pPr>
              <w:pStyle w:val="ConsPlusNormal"/>
            </w:pPr>
            <w:r>
              <w:t xml:space="preserve">2) </w:t>
            </w:r>
            <w:proofErr w:type="gramStart"/>
            <w:r>
              <w:t>утвержденных</w:t>
            </w:r>
            <w:proofErr w:type="gramEnd"/>
            <w:r>
              <w:t xml:space="preserve"> работодателем в установленном порядке:</w:t>
            </w:r>
          </w:p>
          <w:p w:rsidR="00034A74" w:rsidRDefault="00034A74">
            <w:pPr>
              <w:pStyle w:val="ConsPlusNormal"/>
            </w:pPr>
            <w:r>
              <w:t xml:space="preserve">системе </w:t>
            </w:r>
            <w:proofErr w:type="gramStart"/>
            <w:r>
              <w:t>оценки эффективности деятельности работников учреждений</w:t>
            </w:r>
            <w:proofErr w:type="gramEnd"/>
            <w:r>
              <w:t>;</w:t>
            </w:r>
          </w:p>
          <w:p w:rsidR="00034A74" w:rsidRDefault="00034A74">
            <w:pPr>
              <w:pStyle w:val="ConsPlusNormal"/>
            </w:pPr>
            <w:r>
              <w:t>совокупности показателей и критериев, позволяющих оценить количество затраченного труда и его качество;</w:t>
            </w:r>
          </w:p>
          <w:p w:rsidR="00034A74" w:rsidRDefault="00034A74">
            <w:pPr>
              <w:pStyle w:val="ConsPlusNormal"/>
            </w:pPr>
            <w:r>
              <w:t>системе оплаты труда, учитывающей различия в сложности выполняемой работы, количество и качество затраченного труда;</w:t>
            </w:r>
          </w:p>
          <w:p w:rsidR="00034A74" w:rsidRDefault="00034A74">
            <w:pPr>
              <w:pStyle w:val="ConsPlusNormal"/>
            </w:pPr>
            <w:r>
              <w:t>системе нормирования труда работников учреждения;</w:t>
            </w:r>
          </w:p>
          <w:p w:rsidR="00034A74" w:rsidRDefault="00034A74">
            <w:pPr>
              <w:pStyle w:val="ConsPlusNormal"/>
            </w:pPr>
            <w:r>
              <w:t>3) подробной конкретизации с учетом отраслевой специфики в трудовых договорах должностных обязанностей работников показателей и критериев оценки труда и условий его оплаты.</w:t>
            </w:r>
          </w:p>
        </w:tc>
      </w:tr>
      <w:tr w:rsidR="00034A74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bottom w:val="nil"/>
            </w:tcBorders>
          </w:tcPr>
          <w:p w:rsidR="00034A74" w:rsidRDefault="00034A74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Кабардино-Балкарской Республики от 29 декабря 2012 г. N 300-ПП "Об утверждении </w:t>
            </w:r>
            <w:proofErr w:type="gramStart"/>
            <w:r>
              <w:t>Программы поэтапного совершенствования системы оплаты труда</w:t>
            </w:r>
            <w:proofErr w:type="gramEnd"/>
            <w:r>
              <w:t xml:space="preserve"> в государственных учреждениях Кабардино-Балкарской Республики на 2012 - 2018 годы" утверждена примерная форма трудового договора с работником государственного (муниципального) учреждения. Данное </w:t>
            </w: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определяет основные направления </w:t>
            </w:r>
            <w:proofErr w:type="gramStart"/>
            <w:r>
              <w:t>совершенствования условия оплаты труда работников государственных учреждений здравоохранения</w:t>
            </w:r>
            <w:proofErr w:type="gramEnd"/>
            <w:r>
              <w:t xml:space="preserve"> и предусматривает увязку роста заработной платы работников с учетом сложности выполняемой работы и ее качества.</w:t>
            </w:r>
          </w:p>
        </w:tc>
      </w:tr>
      <w:tr w:rsidR="00034A74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396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515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  <w:r>
              <w:t xml:space="preserve">Реализация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позволит существенно </w:t>
            </w:r>
            <w:r>
              <w:lastRenderedPageBreak/>
              <w:t>повысить доходы работников учреждений здравоохранения, обеспечить достойный и конкурентоспособный уровень и более тесную зависимость заработной платы работников от результативности работы, повысить качество предоставляемых государственных услуг, сохранить кадровый потенциал, повысить престижность и привлекательность работы в бюджетной сфере. Министерством здравоохранения Кабардино-Балкарской Республики проводится ежемесячный мониторинг размера средней заработной платы медицинского персонала.</w:t>
            </w:r>
          </w:p>
          <w:p w:rsidR="00034A74" w:rsidRDefault="00034A74">
            <w:pPr>
              <w:pStyle w:val="ConsPlusNormal"/>
            </w:pPr>
            <w:proofErr w:type="gramStart"/>
            <w:r>
              <w:t xml:space="preserve">Руководителям лечебно-профилактических учреждений для использования в работе направлены примерная форма трудового договора с работником государственного (муниципального) учреждения и рекомендации по оформлению трудовых отношений с работниками государственных (муниципальных) учреждений при введении эффективного контракта, утвержденные </w:t>
            </w:r>
            <w:hyperlink r:id="rId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26 апреля 2013 г. N 167н</w:t>
            </w:r>
            <w:proofErr w:type="gramEnd"/>
          </w:p>
        </w:tc>
      </w:tr>
      <w:tr w:rsidR="00034A7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69" w:type="dxa"/>
            <w:tcBorders>
              <w:bottom w:val="nil"/>
            </w:tcBorders>
          </w:tcPr>
          <w:p w:rsidR="00034A74" w:rsidRDefault="00034A74">
            <w:pPr>
              <w:pStyle w:val="ConsPlusNormal"/>
            </w:pPr>
            <w:r>
              <w:t>Представление руководителями государственных учреждений здравоохранения сведений о доходах и имуществе и размещение их в системе "Интернет".</w:t>
            </w:r>
          </w:p>
          <w:p w:rsidR="00034A74" w:rsidRDefault="00034A74">
            <w:pPr>
              <w:pStyle w:val="ConsPlusNormal"/>
            </w:pPr>
            <w:r>
              <w:t xml:space="preserve">Контроль за выполнением в полном объеме мер по созданию прозрачного </w:t>
            </w:r>
            <w:proofErr w:type="gramStart"/>
            <w:r>
              <w:t>механизма оплаты труда руководителей государственных учреждений здравоохранения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  <w:tcBorders>
              <w:bottom w:val="nil"/>
            </w:tcBorders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  <w:tcBorders>
              <w:bottom w:val="nil"/>
            </w:tcBorders>
          </w:tcPr>
          <w:p w:rsidR="00034A74" w:rsidRDefault="00034A74">
            <w:pPr>
              <w:pStyle w:val="ConsPlusNormal"/>
            </w:pPr>
            <w:r>
              <w:t xml:space="preserve">Создание прозрачного </w:t>
            </w:r>
            <w:proofErr w:type="gramStart"/>
            <w:r>
              <w:t>механизма оплаты труда руководителей государственных учреждений</w:t>
            </w:r>
            <w:proofErr w:type="gramEnd"/>
            <w:r>
              <w:t xml:space="preserve"> здравоохранения. 100-процентное размещение в сети "Интернет" сведений об их доходах и имуществе. Правительством Кабардино-Балкарской Республики приняты Постановления:</w:t>
            </w:r>
          </w:p>
          <w:p w:rsidR="00034A74" w:rsidRDefault="00034A74">
            <w:pPr>
              <w:pStyle w:val="ConsPlusNormal"/>
            </w:pPr>
            <w:r>
              <w:t xml:space="preserve">от 13 марта 2013 г. </w:t>
            </w:r>
            <w:hyperlink r:id="rId57" w:history="1">
              <w:r>
                <w:rPr>
                  <w:color w:val="0000FF"/>
                </w:rPr>
                <w:t>N 82-ПП</w:t>
              </w:r>
            </w:hyperlink>
            <w:r>
              <w:t xml:space="preserve"> "О предоставлении лицом, поступающим на должность руководителя государственного учреждения Кабардино-Балкарской Республики, а также руководителем государственного учреждения Кабардино-</w:t>
            </w:r>
            <w:r>
              <w:lastRenderedPageBreak/>
              <w:t>Балкарской Республики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детей";</w:t>
            </w:r>
          </w:p>
          <w:p w:rsidR="00034A74" w:rsidRDefault="00034A74">
            <w:pPr>
              <w:pStyle w:val="ConsPlusNormal"/>
            </w:pPr>
            <w:r>
              <w:t xml:space="preserve">от 13 марта 2013 г. </w:t>
            </w:r>
            <w:hyperlink r:id="rId58" w:history="1">
              <w:r>
                <w:rPr>
                  <w:color w:val="0000FF"/>
                </w:rPr>
                <w:t>N 83-ПП</w:t>
              </w:r>
            </w:hyperlink>
            <w:r>
              <w:t xml:space="preserve"> "О проверке достоверности и полноты сведений, представляемых лицами, поступающими на должность руководителя государственного учреждения Кабардино-Балкарской Республики, и руководителями государственных учреждений Кабардино-Балкарской Республики".</w:t>
            </w:r>
          </w:p>
        </w:tc>
      </w:tr>
      <w:tr w:rsidR="00034A74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396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</w:p>
        </w:tc>
        <w:tc>
          <w:tcPr>
            <w:tcW w:w="5159" w:type="dxa"/>
            <w:tcBorders>
              <w:top w:val="nil"/>
            </w:tcBorders>
          </w:tcPr>
          <w:p w:rsidR="00034A74" w:rsidRDefault="00034A74">
            <w:pPr>
              <w:pStyle w:val="ConsPlusNormal"/>
            </w:pPr>
            <w:r>
              <w:t>Указанные нормативные акты размещены на портале Правительства Кабардино-Балкарской Республики (pravitelstvokbr.ru), в разделе здравоохранения (подраздел "подведомственные учреждения"). Руководители всех лечебно-профилактических учреждений представляют необходимые сведения в установленном порядке, которые размещаются в сети "Интернет"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Соблюдение установленных соотношений средней заработной платы руководителя и средней заработной платы работников учреждения в размере 1:5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Создание прозрачного </w:t>
            </w:r>
            <w:proofErr w:type="gramStart"/>
            <w:r>
              <w:t>механизма оплаты труда руководителей государственных учреждений здравоохранения</w:t>
            </w:r>
            <w:proofErr w:type="gramEnd"/>
            <w:r>
              <w:t>.</w:t>
            </w:r>
          </w:p>
          <w:p w:rsidR="00034A74" w:rsidRDefault="00034A74">
            <w:pPr>
              <w:pStyle w:val="ConsPlusNormal"/>
            </w:pPr>
            <w:r>
              <w:t xml:space="preserve">Соотношение средней заработной платы руководителей учреждения и средней заработной платы работников учреждений (1:5), установленное </w:t>
            </w:r>
            <w:hyperlink r:id="rId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Кабардино-Балкарской Республики от 31 мая 2013 г. N 160-ПП "О </w:t>
            </w:r>
            <w:proofErr w:type="gramStart"/>
            <w:r>
              <w:t>Положении</w:t>
            </w:r>
            <w:proofErr w:type="gramEnd"/>
            <w:r>
              <w:t xml:space="preserve"> об оплате труда работников государственных бюджетных (казенных) учреждений здравоохранения Кабардино-Балкарской Республики" соблюдается в полном </w:t>
            </w:r>
            <w:r>
              <w:lastRenderedPageBreak/>
              <w:t>объеме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Обеспечение дифференциации оплаты труда основного и прочего персонала медицинских организаций (1:0,7 - 1:0,5), оптимизация расходов на административно-управленческий и вспомогательный персонал с учетом предельной доли расходов на оплату их труда в фонде оплаты труда учреждения - не более 40 процентов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Поддержание достигнутого соотношения оплаты труда основного и прочего персонала медицинских организаций, а также предельной доли расходов на оплату труда вспомогательного и административно-управленческого персонала не более 40% от фонда оплаты труда учреждения.</w:t>
            </w:r>
          </w:p>
          <w:p w:rsidR="00034A74" w:rsidRDefault="00034A74">
            <w:pPr>
              <w:pStyle w:val="ConsPlusNormal"/>
            </w:pPr>
            <w:r>
              <w:t xml:space="preserve">Создание условий для повышения эффективности работы административно-управленческого персонала. </w:t>
            </w:r>
            <w:hyperlink r:id="rId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31 мая 2013 г. N 160-ПП "Об оплате труда работников государственных бюджетных (казенных) учреждений здравоохранения Кабардино-Балкарской Республики" определена предельная доля расходов на оплату труда вспомогательного и административно-управленческого персонала не более 30% от фонда оплаты труда учреждения. По данным мониторинга 2013 года соотношение средней заработной платы основного и вспомогательного персонала составляет 1:0,67, что соответствует рекомендациям (1:0,7-1:0,5). Доклад в Министерство труда и социального развития РФ в рамках мониторинга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оценки уровня соответствия медицинских работников занимаемой должности</w:t>
            </w:r>
            <w:proofErr w:type="gramEnd"/>
            <w:r>
              <w:t xml:space="preserve"> или выполняемой работе (аттестации) и соответствия выполняемых работниками трудовых функций трудовым функциям, указанным в трудовых договорах (должностных инструкциях), а также соответствия </w:t>
            </w:r>
            <w:r>
              <w:lastRenderedPageBreak/>
              <w:t>медицинских работников квалификационным требованиям, предъявляемым к медицинским работникам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Проведение оценки будет способствовать переводу работников на "эффективный контракт"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Проведение методических семинаров и совещаний в части оказания содействия государственным учреждениям здравоохранения по определению систем нормирования труда. Внедрение систем нормирования труда с учетом методических рекомендаций, утвержденных Приказами Минтруда России от 31 мая 2013 г. </w:t>
            </w:r>
            <w:hyperlink r:id="rId61" w:history="1">
              <w:r>
                <w:rPr>
                  <w:color w:val="0000FF"/>
                </w:rPr>
                <w:t>N 235</w:t>
              </w:r>
            </w:hyperlink>
            <w:r>
              <w:t xml:space="preserve"> "Об утверждении методических рекомендаций для федеральных органов исполнительной власти по разработке типовых отраслевых норм труда" и от 30 сентября 2013 г. </w:t>
            </w:r>
            <w:hyperlink r:id="rId62" w:history="1">
              <w:r>
                <w:rPr>
                  <w:color w:val="0000FF"/>
                </w:rPr>
                <w:t>N 504</w:t>
              </w:r>
            </w:hyperlink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Введение государственными учреждениями здравоохранения систем нормирования труда. Недопущение нарушений норм трудового законодательства. Повышение производительности труда. В соответствии с </w:t>
            </w:r>
            <w:hyperlink r:id="rId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КБР от 4 марта 2013 г. N 40-П "О материальном стимулировании работников государственных учреждений здравоохранения КБР" одним из показателей оценки деятельности работника является выполнение нормативов объема медицинской помощи на одну должность врача-специалиста исходя из функции врачебной должности</w:t>
            </w:r>
          </w:p>
        </w:tc>
      </w:tr>
      <w:tr w:rsidR="00034A74">
        <w:tc>
          <w:tcPr>
            <w:tcW w:w="13550" w:type="dxa"/>
            <w:gridSpan w:val="5"/>
          </w:tcPr>
          <w:p w:rsidR="00034A74" w:rsidRDefault="00034A74">
            <w:pPr>
              <w:pStyle w:val="ConsPlusNormal"/>
              <w:jc w:val="center"/>
            </w:pPr>
            <w:r>
              <w:t>Реализация государственной программы Кабардино-Балкарской Республики "Развитие здравоохранения в Кабардино-Балкарской Республике" до 2020 года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Мероприятия </w:t>
            </w:r>
            <w:proofErr w:type="gramStart"/>
            <w:r>
              <w:t xml:space="preserve">по проведению организационных изменений в структуре медицинских организаций Кабардино-Балкарской Республики в соответствии с утвержденной </w:t>
            </w:r>
            <w:hyperlink r:id="rId64" w:history="1">
              <w:r>
                <w:rPr>
                  <w:color w:val="0000FF"/>
                </w:rPr>
                <w:t>Программой</w:t>
              </w:r>
            </w:hyperlink>
            <w:r>
              <w:t xml:space="preserve"> развития здравоохранения в Кабардино-Балкарской Республике</w:t>
            </w:r>
            <w:proofErr w:type="gramEnd"/>
            <w:r>
              <w:t xml:space="preserve"> до 2020 года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2013 - 2015 годы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Реализация структурных преобразований системы оказания медицинской помощи в части организационных изменений в структуре медицинских организаций Кабардино-Балкарской Республики, направленная на повышение эффективности системы здравоохранения в соответствии с утвержденной </w:t>
            </w:r>
            <w:hyperlink r:id="rId65" w:history="1">
              <w:r>
                <w:rPr>
                  <w:color w:val="0000FF"/>
                </w:rPr>
                <w:t>Программой</w:t>
              </w:r>
            </w:hyperlink>
            <w:r>
              <w:t xml:space="preserve"> развития здравоохранения в Кабардино-Балкарской Республике до 2020 года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Мониторинг оптимизации сети </w:t>
            </w:r>
            <w:r>
              <w:lastRenderedPageBreak/>
              <w:t>государственных учреждений здравоохранения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Поэтапный план оптимизации структуры </w:t>
            </w:r>
            <w:r>
              <w:lastRenderedPageBreak/>
              <w:t>государственных учреждений здравоохранения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Снижение неэффективных расходов на содержание государственных учреждений здравоохранения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Направление сложившейся экономии на повышение заработной платы работников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Оптимизация неэффективных расходов, в том числе за счет увеличения доходов от платных услуг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Направление сложившейся экономии на повышение заработной платы работников.</w:t>
            </w:r>
          </w:p>
          <w:p w:rsidR="00034A74" w:rsidRDefault="00034A74">
            <w:pPr>
              <w:pStyle w:val="ConsPlusNormal"/>
            </w:pPr>
            <w:r>
              <w:t xml:space="preserve">В соответствии с </w:t>
            </w:r>
            <w:hyperlink r:id="rId6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КБР от 16 мая 2013 г. N 102-П "О порядке определения цен (тарифов) на медицинские услуги, предоставляемые государственными бюджетными и казенными учреждениями здравоохранения КБР" упростился порядок согласования предоставления платных услуг, что позволяет учреждениям здравоохранения расширить перечень платных услуг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Создание трехуровневой системы оказания здравоохранения на территории Кабардино-Балкарской Республики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2013 - 2018 годы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Достижение целевых показателей снижения смертности и увеличения продолжительности жизни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Укрепление первичной медико-санитарной помощи, в том числе на селе, приближение ее к каждому жителю республики: сохранение фельдшерско-акушерских пунктов в сельских населенных пунктах, строительство типовых зданий, отвечающих современным санитарным нормам; создание межрайонных центров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Улучшение качества и доступности первичной медико-санитарной помощи. </w:t>
            </w:r>
            <w:proofErr w:type="gramStart"/>
            <w:r>
              <w:t xml:space="preserve">В рамках Республиканской целевой </w:t>
            </w:r>
            <w:hyperlink r:id="rId6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Кабардино-Балкарской Республики на 2014 - 2017 годы и на период до 2020 года" (</w:t>
            </w:r>
            <w:hyperlink r:id="rId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9 октября 2013 г. N 276-ПП) планируется строительство 19 ФАПов (ФАПы в с. Этоко Зольского района, х. Колдрасинский Майского района, с.п.</w:t>
            </w:r>
            <w:proofErr w:type="gramEnd"/>
            <w:r>
              <w:t xml:space="preserve"> Шордаково Зольского района, с.п. Ерокко Лескенского района, х. </w:t>
            </w:r>
            <w:r>
              <w:lastRenderedPageBreak/>
              <w:t>Ново-Курский Майского района, с. Степное Прохладненского района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Эльтюбю Чегемского района, с.п. Зольское Зольского района, с.п. Верхний Лескен Лескенского района, с. </w:t>
            </w:r>
            <w:proofErr w:type="gramStart"/>
            <w:r>
              <w:t>Гвардейское</w:t>
            </w:r>
            <w:proofErr w:type="gramEnd"/>
            <w:r>
              <w:t xml:space="preserve"> Прохладненского района, с.п. Терскол Эльбрусского района, с.п. Исламей Баксанского района, с.п. Хабаз Зольского района, с. </w:t>
            </w:r>
            <w:proofErr w:type="gramStart"/>
            <w:r>
              <w:t>Виноградное</w:t>
            </w:r>
            <w:proofErr w:type="gramEnd"/>
            <w:r>
              <w:t xml:space="preserve"> Прохладненского района, с.п. </w:t>
            </w:r>
            <w:proofErr w:type="gramStart"/>
            <w:r>
              <w:t>Верхний Баксан Эльбрусского района, с. Джена Зольского района, с. Восточное Прохладненского района, х. Грабовец Прохладненского района, с. Граничное Прохладненского района)</w:t>
            </w:r>
            <w:proofErr w:type="gramEnd"/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25.6.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Оптимизация работы службы скорой медицинской помощи путем обновления парка санитарного автотранспорта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Улучшение доступности и качества службы скорой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Оптимизация оказания специализированной помощи населению путем концентрации оборудования и кадрового потенциала на базах межрайонных специализированных центров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2014 - 2018 годы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Оснащение специализированных центров по травме, </w:t>
            </w:r>
            <w:proofErr w:type="gramStart"/>
            <w:r>
              <w:t>сердечно-сосудистой</w:t>
            </w:r>
            <w:proofErr w:type="gramEnd"/>
            <w:r>
              <w:t xml:space="preserve"> патологии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Развитие центров оказания высокотехнологичной медицинской помощи: подготовка кадров, оснащение медицинским оборудованием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Улучшение доступности и качества оказания высокотехнологичной медицинской помощи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Мониторинг мероприятий, направленных на повышение эффективности и качества услуг в сфере здравоохранения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Выполнение Плана мероприятий ("дорожной карты") "Изменения в отраслях социальной сферы, направленные на повышение эффективности здравоохранения в Кабардино-Балкарской </w:t>
            </w:r>
            <w:r>
              <w:lastRenderedPageBreak/>
              <w:t>Республике"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26.1.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Приведение нормативных правовых актов Кабардино-Балкарской Республики в соответствие с Федеральным </w:t>
            </w:r>
            <w:hyperlink r:id="rId6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21 ноября 2011 г. N 323-ФЗ "Об основах охраны здоровья граждан в Российской Федерации"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Формирование нормативной правовой основы регулирования правоотношений в сфере здравоохранения Кабардино-Балкарской Республики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Анализ объемов и расходования средств, полученных медицинскими организациями за предоставление платных услуг населению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Мониторинг использования финансовых средств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Изучение и распространение наилучших практик деятельности медицинских организаций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Повышение качества и доступности предоставления медицинских услуг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Формирование независимой оценки качества работы медицинских организаций, включая критерии эффективности работы таких организаций и введение публичных рейтингов их деятельности. Анализ </w:t>
            </w:r>
            <w:proofErr w:type="gramStart"/>
            <w:r>
              <w:t>показателей независимой системы оценки качества работы медицинских</w:t>
            </w:r>
            <w:proofErr w:type="gramEnd"/>
            <w:r>
              <w:t xml:space="preserve"> организаций, оказывающих услуги в сфере здравоохранения, в целях формирования независимой системы оценки качества работы медицинских организаций, таких как "Обеспечение функционирования независимой системы оценки качества работы </w:t>
            </w:r>
            <w:r>
              <w:lastRenderedPageBreak/>
              <w:t xml:space="preserve">медицинских организаций"; "Обеспечение </w:t>
            </w:r>
            <w:proofErr w:type="gramStart"/>
            <w:r>
              <w:t>мониторинга проведения независимой оценки качества работы медицинских организаций</w:t>
            </w:r>
            <w:proofErr w:type="gramEnd"/>
            <w:r>
              <w:t xml:space="preserve"> на региональном уровне" в соответствии с </w:t>
            </w:r>
            <w:hyperlink r:id="rId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октября 2013 г. N 810а "Об организации работы по формированию независимой системы оценки качества работы государственных (муниципальных) учреждений, оказывающих услуги в сфере здравоохранения"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Реализация мероприятия повысит информированность потребителей о качестве оказания медицинских услуг и стимулирует повышение качества работы медицинских организаций.</w:t>
            </w:r>
          </w:p>
          <w:p w:rsidR="00034A74" w:rsidRDefault="00034A74">
            <w:pPr>
              <w:pStyle w:val="ConsPlusNormal"/>
            </w:pPr>
            <w:r>
              <w:t xml:space="preserve">Основной задачей проведения независимой оценки качества является оценка потребителями услуг качества работы медицинских организаций. Проведение независимой оценки качества направлено на обеспечение потребителей услуг дополнительной информацией о качестве работы медицинской организации, определение результативности деятельности медицинской организации и принятие своевременных мер по повышению эффективности ее деятельности, </w:t>
            </w:r>
            <w:r>
              <w:lastRenderedPageBreak/>
              <w:t xml:space="preserve">своевременное выявление негативных факторов, влияющих на качество предоставления услуг в сфере здравоохранения, а также стимулирование руководителей и работников медицинских организаций. В соответствии с </w:t>
            </w:r>
            <w:hyperlink r:id="rId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октября 2013 г. N 810а организацию проведения независимой оценки качества в Кабардино-Балкарской Республике осуществляет Министерство здравоохранения Кабардино-Балкарской Республики, на которое возлагаются следующие функции: общее организационное обеспечение проведения независимой оценки качества; мониторинг проведения независимой оценки; обеспечение технической возможности выражения мнений потребителями услуг в сфере здравоохранения о работе медицинских организаций и удовлетворенности качеством обслуживания в медицинской организации на официальном сайте Правительства Кабардино-Балкарской Республики в сети "Интернет", а также на официальных сайтах медицинских организаций, подведомственных министерству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27.1.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Разработка </w:t>
            </w:r>
            <w:proofErr w:type="gramStart"/>
            <w:r>
              <w:t>Порядка организации проведения независимой оценки качества работы государственных учреждений здравоохранения</w:t>
            </w:r>
            <w:proofErr w:type="gramEnd"/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4 квартал 2013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КБР, Общественный совет Минздрава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Повышение качества работы медицинских организаций. Приказ Минздрава КБР от 17.12.2013 N 273-П "Об организации </w:t>
            </w:r>
            <w:proofErr w:type="gramStart"/>
            <w:r>
              <w:t>проведения независимой оценки качества работы государственных учреждений Кабардино-Балкарской Республики</w:t>
            </w:r>
            <w:proofErr w:type="gramEnd"/>
            <w:r>
              <w:t xml:space="preserve">". Общественный совет при Минздраве КБР образован в соответствии с </w:t>
            </w:r>
            <w:hyperlink r:id="rId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КБР от 30 августа 2013 г. N 181-П. Основными задачами Совета являются выработка предложений по формированию и реализации государственной политики в сфере деятельности Минздрава КБР; </w:t>
            </w:r>
            <w:r>
              <w:lastRenderedPageBreak/>
              <w:t xml:space="preserve">содействие в осуществлении постоянного взаимодействия Минздрава КБР с гражданами, институтами гражданского общества, научными и образовательными учреждениями и иными организациями при выработке и реализации государственной политики и нормативно-правовом регулировании в сфере ведения Минздрава КБР; развитие форм и методов этого взаимодействия, анализ эффективности деятельности Минздрава КБР в рамках установленных полномочий и ее публичная оценка; совершенствование существующих и выработка новых механизмов поддержки Минздравом КБР общественных инициатив при реализации им социально значимых мероприятий, проектов и программ в рамках направлений деятельности; осуществление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Минздрава КБР. Решением Общественного совета при Минздраве КБР от 19 ноября 2013 г. N 1 утвержден Порядок </w:t>
            </w:r>
            <w:proofErr w:type="gramStart"/>
            <w:r>
              <w:t>проведения независимой оценки качества работы государственных учреждений здравоохранения Кабардино-Балкарской Республики</w:t>
            </w:r>
            <w:proofErr w:type="gramEnd"/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Анализ качества и доступности предоставления медицинских услуг населению государственных учреждениях здравоохранения путем формирования анкет социологических опросов, проведения социологического исследования среди получателей услуг по следующим направлениям: предоставление медицинских услуг в амбулаторно-поликлиническом звене; предоставление медицинских услуг в </w:t>
            </w:r>
            <w:r>
              <w:lastRenderedPageBreak/>
              <w:t>стационарных условиях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Повышение качества работы медицинских организаций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lastRenderedPageBreak/>
              <w:t>27.3.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Организация информационно-разъяснительной работы среди населения Кабардино-Балкарской Республики об оптимизации и реструктуризации системы здравоохранения, видам и условиям предоставления медицинских услуг. Организация информирования населения о деятельности системы здравоохранения республики, включая интернет-ресурсы и статьи в средствах массовой информации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Повышение информированности населения об услугах в сфере здравоохранения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Создание официальных сайтов медицинских организаций, размещение организациями информации о своей деятельности на официальном сайте www.bus.gov.ru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>По состоянию на 1 апреля 2014 г. создано 39 официальных сайтов медицинских организаций в соответствии с Приказом Минздрава КБР от 16.12.2013 N 272-П "О создании официальных сайтов лечебно-профилактических учреждений, подведомственных Министерству здравоохранения и курортов Кабардино-Балкарской Республики"</w:t>
            </w: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 xml:space="preserve">Проведение </w:t>
            </w:r>
            <w:proofErr w:type="gramStart"/>
            <w:r>
              <w:t>мониторинга функционирования независимой оценки качества работы медицинских организаций Кабардино-Балкарской Республики</w:t>
            </w:r>
            <w:proofErr w:type="gramEnd"/>
            <w:r>
              <w:t xml:space="preserve"> в соответствии с Приказом Министерства труда и социальной защиты Российской Федерации от 31 мая 2013 г. N 234а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ежегодно, до 15 января и 5 июля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</w:pP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</w:p>
        </w:tc>
      </w:tr>
      <w:tr w:rsidR="00034A74">
        <w:tc>
          <w:tcPr>
            <w:tcW w:w="737" w:type="dxa"/>
          </w:tcPr>
          <w:p w:rsidR="00034A74" w:rsidRDefault="00034A7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</w:tcPr>
          <w:p w:rsidR="00034A74" w:rsidRDefault="00034A74">
            <w:pPr>
              <w:pStyle w:val="ConsPlusNormal"/>
            </w:pPr>
            <w:r>
              <w:t>Аккредитация медицинских работников</w:t>
            </w:r>
          </w:p>
        </w:tc>
        <w:tc>
          <w:tcPr>
            <w:tcW w:w="1701" w:type="dxa"/>
          </w:tcPr>
          <w:p w:rsidR="00034A74" w:rsidRDefault="00034A74">
            <w:pPr>
              <w:pStyle w:val="ConsPlusNormal"/>
              <w:jc w:val="center"/>
            </w:pPr>
            <w:r>
              <w:t>с 2016 г.</w:t>
            </w:r>
          </w:p>
        </w:tc>
        <w:tc>
          <w:tcPr>
            <w:tcW w:w="1984" w:type="dxa"/>
          </w:tcPr>
          <w:p w:rsidR="00034A74" w:rsidRDefault="00034A74">
            <w:pPr>
              <w:pStyle w:val="ConsPlusNormal"/>
              <w:jc w:val="center"/>
            </w:pPr>
            <w:r>
              <w:t>Минздрав КБР</w:t>
            </w:r>
          </w:p>
        </w:tc>
        <w:tc>
          <w:tcPr>
            <w:tcW w:w="5159" w:type="dxa"/>
          </w:tcPr>
          <w:p w:rsidR="00034A74" w:rsidRDefault="00034A74">
            <w:pPr>
              <w:pStyle w:val="ConsPlusNormal"/>
            </w:pPr>
            <w:r>
              <w:t xml:space="preserve">Подтверждение соответствия квалификации и качества работы медицинских работников </w:t>
            </w:r>
            <w:r>
              <w:lastRenderedPageBreak/>
              <w:t>профессиональным стандартам</w:t>
            </w:r>
          </w:p>
        </w:tc>
      </w:tr>
    </w:tbl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jc w:val="both"/>
      </w:pPr>
    </w:p>
    <w:p w:rsidR="00034A74" w:rsidRDefault="00034A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074" w:rsidRDefault="00673074"/>
    <w:sectPr w:rsidR="00673074" w:rsidSect="00E9661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034A74"/>
    <w:rsid w:val="00034A74"/>
    <w:rsid w:val="00673074"/>
    <w:rsid w:val="00BA1A01"/>
    <w:rsid w:val="00D7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4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4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4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4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4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2D67CB4E605DC09060A04788165EFCDAF52DF8DA878A37ED12278EC04824F4CCB92A1DFCAE48FFFC0D3Ch248F" TargetMode="External"/><Relationship Id="rId18" Type="http://schemas.openxmlformats.org/officeDocument/2006/relationships/hyperlink" Target="consultantplus://offline/ref=C62D67CB4E605DC09060BE4A9E7A03F1DFFD7AF6D9898460B54D7CD397412EA38BF673h548F" TargetMode="External"/><Relationship Id="rId26" Type="http://schemas.openxmlformats.org/officeDocument/2006/relationships/hyperlink" Target="consultantplus://offline/ref=C62D67CB4E605DC09060A04788165EFCDAF52DF8DB858733E012278EC04824F4CCB92A1DFCAE48FFFC0D3Ch24EF" TargetMode="External"/><Relationship Id="rId39" Type="http://schemas.openxmlformats.org/officeDocument/2006/relationships/hyperlink" Target="consultantplus://offline/ref=C62D67CB4E605DC09060A04788165EFCDAF52DF8DB858733E012278EC04824F4CCB92A1DFCAE48FFFC0E3Dh24EF" TargetMode="External"/><Relationship Id="rId21" Type="http://schemas.openxmlformats.org/officeDocument/2006/relationships/hyperlink" Target="consultantplus://offline/ref=C62D67CB4E605DC09060BE4A9E7A03F1DCF776F2DF8AD96ABD1470D1h940F" TargetMode="External"/><Relationship Id="rId34" Type="http://schemas.openxmlformats.org/officeDocument/2006/relationships/hyperlink" Target="consultantplus://offline/ref=C62D67CB4E605DC09060A04788165EFCDAF52DF8DB858733E012278EC04824F4CCB92A1DFCAE48FFFC0D3Ch246F" TargetMode="External"/><Relationship Id="rId42" Type="http://schemas.openxmlformats.org/officeDocument/2006/relationships/hyperlink" Target="consultantplus://offline/ref=C62D67CB4E605DC09060BE4A9E7A03F1DFFC7AF6DC858460B54D7CD397h441F" TargetMode="External"/><Relationship Id="rId47" Type="http://schemas.openxmlformats.org/officeDocument/2006/relationships/hyperlink" Target="consultantplus://offline/ref=C62D67CB4E605DC09060BE4A9E7A03F1DFFC7AF6DC858460B54D7CD397h441F" TargetMode="External"/><Relationship Id="rId50" Type="http://schemas.openxmlformats.org/officeDocument/2006/relationships/hyperlink" Target="consultantplus://offline/ref=C62D67CB4E605DC09060BE4A9E7A03F1DFFC7AF6DC858460B54D7CD397h441F" TargetMode="External"/><Relationship Id="rId55" Type="http://schemas.openxmlformats.org/officeDocument/2006/relationships/hyperlink" Target="consultantplus://offline/ref=C62D67CB4E605DC09060A04788165EFCDAF52DF8DA898732EA12278EC04824F4hC4CF" TargetMode="External"/><Relationship Id="rId63" Type="http://schemas.openxmlformats.org/officeDocument/2006/relationships/hyperlink" Target="consultantplus://offline/ref=C62D67CB4E605DC09060A04788165EFCDAF52DF8DA868C32E912278EC04824F4hC4CF" TargetMode="External"/><Relationship Id="rId68" Type="http://schemas.openxmlformats.org/officeDocument/2006/relationships/hyperlink" Target="consultantplus://offline/ref=C62D67CB4E605DC09060A04788165EFCDAF52DF8DA888631E112278EC04824F4hC4CF" TargetMode="External"/><Relationship Id="rId7" Type="http://schemas.openxmlformats.org/officeDocument/2006/relationships/hyperlink" Target="consultantplus://offline/ref=C62D67CB4E605DC09060A04788165EFCDAF52DF8DA878C3FE012278EC04824F4hC4CF" TargetMode="External"/><Relationship Id="rId71" Type="http://schemas.openxmlformats.org/officeDocument/2006/relationships/hyperlink" Target="consultantplus://offline/ref=C62D67CB4E605DC09060BE4A9E7A03F1DFFB77F1DF828460B54D7CD397h441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2D67CB4E605DC09060A04788165EFCDAF52DF8DA858F34EE12278EC04824F4hC4CF" TargetMode="External"/><Relationship Id="rId29" Type="http://schemas.openxmlformats.org/officeDocument/2006/relationships/hyperlink" Target="consultantplus://offline/ref=C62D67CB4E605DC09060A04788165EFCDAF52DF8DB858733E012278EC04824F4CCB92A1DFCAE48FFFC0D3Ch24DF" TargetMode="External"/><Relationship Id="rId11" Type="http://schemas.openxmlformats.org/officeDocument/2006/relationships/hyperlink" Target="consultantplus://offline/ref=C62D67CB4E605DC09060A04788165EFCDAF52DF8DA878A37ED12278EC04824F4CCB92A1DFCAE48FFFC0D3Ch248F" TargetMode="External"/><Relationship Id="rId24" Type="http://schemas.openxmlformats.org/officeDocument/2006/relationships/hyperlink" Target="consultantplus://offline/ref=C62D67CB4E605DC09060BE4A9E7A03F1DFFC7AF6DC858460B54D7CD397h441F" TargetMode="External"/><Relationship Id="rId32" Type="http://schemas.openxmlformats.org/officeDocument/2006/relationships/hyperlink" Target="consultantplus://offline/ref=C62D67CB4E605DC09060A04788165EFCDAF52DF8DB858733E012278EC04824F4CCB92A1DFCAE48FFFC0D3Ch248F" TargetMode="External"/><Relationship Id="rId37" Type="http://schemas.openxmlformats.org/officeDocument/2006/relationships/hyperlink" Target="consultantplus://offline/ref=C62D67CB4E605DC09060A04788165EFCDAF52DF8DB858733E012278EC04824F4CCB92A1DFCAE48FFFC0D3Fh24FF" TargetMode="External"/><Relationship Id="rId40" Type="http://schemas.openxmlformats.org/officeDocument/2006/relationships/hyperlink" Target="consultantplus://offline/ref=C62D67CB4E605DC09060BE4A9E7A03F1DFF871FDD8828460B54D7CD397h441F" TargetMode="External"/><Relationship Id="rId45" Type="http://schemas.openxmlformats.org/officeDocument/2006/relationships/hyperlink" Target="consultantplus://offline/ref=C62D67CB4E605DC09060A04788165EFCDAF52DF8DA868C32E912278EC04824F4hC4CF" TargetMode="External"/><Relationship Id="rId53" Type="http://schemas.openxmlformats.org/officeDocument/2006/relationships/hyperlink" Target="consultantplus://offline/ref=C62D67CB4E605DC09060A04788165EFCDAF52DF8DA898732EA12278EC04824F4hC4CF" TargetMode="External"/><Relationship Id="rId58" Type="http://schemas.openxmlformats.org/officeDocument/2006/relationships/hyperlink" Target="consultantplus://offline/ref=C62D67CB4E605DC09060A04788165EFCDAF52DF8DA868C34E812278EC04824F4hC4CF" TargetMode="External"/><Relationship Id="rId66" Type="http://schemas.openxmlformats.org/officeDocument/2006/relationships/hyperlink" Target="consultantplus://offline/ref=C62D67CB4E605DC09060A04788165EFCDAF52DF8DB818B37E912278EC04824F4hC4CF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C62D67CB4E605DC09060A04788165EFCDAF52DF8DB858733E012278EC04824F4CCB92A1DFCAE48FFFC0D3Dh24DF" TargetMode="External"/><Relationship Id="rId15" Type="http://schemas.openxmlformats.org/officeDocument/2006/relationships/hyperlink" Target="consultantplus://offline/ref=C62D67CB4E605DC09060BE4A9E7A03F1DFFF75F5DC878460B54D7CD397412EA38BF6735FB8A349FFhF44F" TargetMode="External"/><Relationship Id="rId23" Type="http://schemas.openxmlformats.org/officeDocument/2006/relationships/hyperlink" Target="consultantplus://offline/ref=C62D67CB4E605DC09060A04788165EFCDAF52DF8DA858C30E912278EC04824F4CCB92A1DFCAE48FFFC0D3Bh24AF" TargetMode="External"/><Relationship Id="rId28" Type="http://schemas.openxmlformats.org/officeDocument/2006/relationships/hyperlink" Target="consultantplus://offline/ref=C62D67CB4E605DC09060A04788165EFCDAF52DF8DB858733E012278EC04824F4CCB92A1DFCAE48FFFC0D3Ch24CF" TargetMode="External"/><Relationship Id="rId36" Type="http://schemas.openxmlformats.org/officeDocument/2006/relationships/hyperlink" Target="consultantplus://offline/ref=C62D67CB4E605DC09060A04788165EFCDAF52DF8DB858733E012278EC04824F4CCB92A1DFCAE48FFFC0D3Fh24EF" TargetMode="External"/><Relationship Id="rId49" Type="http://schemas.openxmlformats.org/officeDocument/2006/relationships/hyperlink" Target="consultantplus://offline/ref=C62D67CB4E605DC09060A04788165EFCDAF52DF8DB838634ED12278EC04824F4CCB92A1DFCAE48FFFD0B34h248F" TargetMode="External"/><Relationship Id="rId57" Type="http://schemas.openxmlformats.org/officeDocument/2006/relationships/hyperlink" Target="consultantplus://offline/ref=C62D67CB4E605DC09060BE4A9E7A03F1DFFC7AF6DC858460B54D7CD397h441F" TargetMode="External"/><Relationship Id="rId61" Type="http://schemas.openxmlformats.org/officeDocument/2006/relationships/hyperlink" Target="consultantplus://offline/ref=C62D67CB4E605DC09060BE4A9E7A03F1DFFA7AF6DE848460B54D7CD397h441F" TargetMode="External"/><Relationship Id="rId10" Type="http://schemas.openxmlformats.org/officeDocument/2006/relationships/hyperlink" Target="consultantplus://offline/ref=C62D67CB4E605DC09060A04788165EFCDAF52DF8DA878A37ED12278EC04824F4hC4CF" TargetMode="External"/><Relationship Id="rId19" Type="http://schemas.openxmlformats.org/officeDocument/2006/relationships/hyperlink" Target="consultantplus://offline/ref=C62D67CB4E605DC09060A04788165EFCDAF52DF8DA878E34E812278EC04824F4CCB92A1DFCAE48FFFC0D3Ch247F" TargetMode="External"/><Relationship Id="rId31" Type="http://schemas.openxmlformats.org/officeDocument/2006/relationships/hyperlink" Target="consultantplus://offline/ref=C62D67CB4E605DC09060A04788165EFCDAF52DF8DB858733E012278EC04824F4CCB92A1DFCAE48FFFC0D3Ch24BF" TargetMode="External"/><Relationship Id="rId44" Type="http://schemas.openxmlformats.org/officeDocument/2006/relationships/hyperlink" Target="consultantplus://offline/ref=C62D67CB4E605DC09060BE4A9E7A03F1DFF871F4DF898460B54D7CD397412EA38BF6735FB8A349FEhF4FF" TargetMode="External"/><Relationship Id="rId52" Type="http://schemas.openxmlformats.org/officeDocument/2006/relationships/hyperlink" Target="consultantplus://offline/ref=C62D67CB4E605DC09060BE4A9E7A03F1DFFC7AF6DC858460B54D7CD397h441F" TargetMode="External"/><Relationship Id="rId60" Type="http://schemas.openxmlformats.org/officeDocument/2006/relationships/hyperlink" Target="consultantplus://offline/ref=C62D67CB4E605DC09060A04788165EFCDAF52DF8DA898C31EE12278EC04824F4hC4CF" TargetMode="External"/><Relationship Id="rId65" Type="http://schemas.openxmlformats.org/officeDocument/2006/relationships/hyperlink" Target="consultantplus://offline/ref=C62D67CB4E605DC09060A04788165EFCDAF52DF8DB838634ED12278EC04824F4CCB92A1DFCAE48FFFC0D3Ch24EF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62D67CB4E605DC09060BE4A9E7A03F1DFFA71F5DC868460B54D7CD397h441F" TargetMode="External"/><Relationship Id="rId14" Type="http://schemas.openxmlformats.org/officeDocument/2006/relationships/hyperlink" Target="consultantplus://offline/ref=C62D67CB4E605DC09060BE4A9E7A03F1DFFA71F5DC868460B54D7CD397412EA38BF6735FB8A34DFChF4DF" TargetMode="External"/><Relationship Id="rId22" Type="http://schemas.openxmlformats.org/officeDocument/2006/relationships/hyperlink" Target="consultantplus://offline/ref=C62D67CB4E605DC09060BE4A9E7A03F1DFFC7AF6DC848460B54D7CD397h441F" TargetMode="External"/><Relationship Id="rId27" Type="http://schemas.openxmlformats.org/officeDocument/2006/relationships/hyperlink" Target="consultantplus://offline/ref=C62D67CB4E605DC09060A04788165EFCDAF52DF8DB858733E012278EC04824F4CCB92A1DFCAE48FFFC0D3Ch24FF" TargetMode="External"/><Relationship Id="rId30" Type="http://schemas.openxmlformats.org/officeDocument/2006/relationships/hyperlink" Target="consultantplus://offline/ref=C62D67CB4E605DC09060A04788165EFCDAF52DF8DB858733E012278EC04824F4CCB92A1DFCAE48FFFC0D3Ch24AF" TargetMode="External"/><Relationship Id="rId35" Type="http://schemas.openxmlformats.org/officeDocument/2006/relationships/hyperlink" Target="consultantplus://offline/ref=C62D67CB4E605DC09060A04788165EFCDAF52DF8DB858733E012278EC04824F4CCB92A1DFCAE48FFFC0D3Ch247F" TargetMode="External"/><Relationship Id="rId43" Type="http://schemas.openxmlformats.org/officeDocument/2006/relationships/hyperlink" Target="consultantplus://offline/ref=C62D67CB4E605DC09060BE4A9E7A03F1DFFC7AF6DC858460B54D7CD397h441F" TargetMode="External"/><Relationship Id="rId48" Type="http://schemas.openxmlformats.org/officeDocument/2006/relationships/hyperlink" Target="consultantplus://offline/ref=C62D67CB4E605DC09060A04788165EFCDAF52DF8DB838634ED12278EC04824F4CCB92A1DFCAE48FFFC0D3Ch24EF" TargetMode="External"/><Relationship Id="rId56" Type="http://schemas.openxmlformats.org/officeDocument/2006/relationships/hyperlink" Target="consultantplus://offline/ref=C62D67CB4E605DC09060BE4A9E7A03F1DFF870F6D1838460B54D7CD397h441F" TargetMode="External"/><Relationship Id="rId64" Type="http://schemas.openxmlformats.org/officeDocument/2006/relationships/hyperlink" Target="consultantplus://offline/ref=C62D67CB4E605DC09060A04788165EFCDAF52DF8DB838634ED12278EC04824F4CCB92A1DFCAE48FFFC0D3Ch24EF" TargetMode="External"/><Relationship Id="rId69" Type="http://schemas.openxmlformats.org/officeDocument/2006/relationships/hyperlink" Target="consultantplus://offline/ref=C62D67CB4E605DC09060BE4A9E7A03F1DFFB75F2D1828460B54D7CD397h441F" TargetMode="External"/><Relationship Id="rId8" Type="http://schemas.openxmlformats.org/officeDocument/2006/relationships/hyperlink" Target="consultantplus://offline/ref=C62D67CB4E605DC09060BE4A9E7A03F1DFFD75FCDB808460B54D7CD397h441F" TargetMode="External"/><Relationship Id="rId51" Type="http://schemas.openxmlformats.org/officeDocument/2006/relationships/hyperlink" Target="consultantplus://offline/ref=C62D67CB4E605DC09060BE4A9E7A03F1DFF877FCDA888460B54D7CD397412EA38BF6735FB8A24FF8hF4BF" TargetMode="External"/><Relationship Id="rId72" Type="http://schemas.openxmlformats.org/officeDocument/2006/relationships/hyperlink" Target="consultantplus://offline/ref=C62D67CB4E605DC09060A04788165EFCDAF52DF8DA888930E012278EC04824F4hC4C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62D67CB4E605DC09060A04788165EFCDAF52DF8DA878C36ED12278EC04824F4hC4CF" TargetMode="External"/><Relationship Id="rId17" Type="http://schemas.openxmlformats.org/officeDocument/2006/relationships/hyperlink" Target="consultantplus://offline/ref=C62D67CB4E605DC09060A04788165EFCDAF52DF8DA878E34E812278EC04824F4CCB92A1DFCAE48FFFC0D3Ch247F" TargetMode="External"/><Relationship Id="rId25" Type="http://schemas.openxmlformats.org/officeDocument/2006/relationships/hyperlink" Target="consultantplus://offline/ref=C62D67CB4E605DC09060A04788165EFCDAF52DF8DB858733E012278EC04824F4CCB92A1DFCAE48FFFC0D3Dh246F" TargetMode="External"/><Relationship Id="rId33" Type="http://schemas.openxmlformats.org/officeDocument/2006/relationships/hyperlink" Target="consultantplus://offline/ref=C62D67CB4E605DC09060A04788165EFCDAF52DF8DB858733E012278EC04824F4CCB92A1DFCAE48FFFC0D3Ch249F" TargetMode="External"/><Relationship Id="rId38" Type="http://schemas.openxmlformats.org/officeDocument/2006/relationships/hyperlink" Target="consultantplus://offline/ref=C62D67CB4E605DC09060A04788165EFCDAF52DF8DB858733E012278EC04824F4CCB92A1DFCAE48FFFC0D3Fh24CF" TargetMode="External"/><Relationship Id="rId46" Type="http://schemas.openxmlformats.org/officeDocument/2006/relationships/hyperlink" Target="consultantplus://offline/ref=C62D67CB4E605DC09060A04788165EFCDAF52DF8DB848E3FEB12278EC04824F4hC4CF" TargetMode="External"/><Relationship Id="rId59" Type="http://schemas.openxmlformats.org/officeDocument/2006/relationships/hyperlink" Target="consultantplus://offline/ref=C62D67CB4E605DC09060A04788165EFCDAF52DF8DA898C31EE12278EC04824F4hC4CF" TargetMode="External"/><Relationship Id="rId67" Type="http://schemas.openxmlformats.org/officeDocument/2006/relationships/hyperlink" Target="consultantplus://offline/ref=C62D67CB4E605DC09060A04788165EFCDAF52DF8DA888631E112278EC04824F4CCB92A1DFCAE48FFFC0D3Ch24EF" TargetMode="External"/><Relationship Id="rId20" Type="http://schemas.openxmlformats.org/officeDocument/2006/relationships/hyperlink" Target="consultantplus://offline/ref=C62D67CB4E605DC09060A04788165EFCDAF52DF8DA878E34E812278EC04824F4CCB92A1DFCAE48FFFC0D3Ch247F" TargetMode="External"/><Relationship Id="rId41" Type="http://schemas.openxmlformats.org/officeDocument/2006/relationships/hyperlink" Target="consultantplus://offline/ref=C62D67CB4E605DC09060BE4A9E7A03F1DFF871FDD8828460B54D7CD397h441F" TargetMode="External"/><Relationship Id="rId54" Type="http://schemas.openxmlformats.org/officeDocument/2006/relationships/hyperlink" Target="consultantplus://offline/ref=C62D67CB4E605DC09060A04788165EFCDAF52DF8DA898732EA12278EC04824F4hC4CF" TargetMode="External"/><Relationship Id="rId62" Type="http://schemas.openxmlformats.org/officeDocument/2006/relationships/hyperlink" Target="consultantplus://offline/ref=C62D67CB4E605DC09060BE4A9E7A03F1DFFB76F5D1818460B54D7CD397h441F" TargetMode="External"/><Relationship Id="rId70" Type="http://schemas.openxmlformats.org/officeDocument/2006/relationships/hyperlink" Target="consultantplus://offline/ref=C62D67CB4E605DC09060BE4A9E7A03F1DFFB77F1DF828460B54D7CD397h44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2D67CB4E605DC09060A04788165EFCDAF52DF8DB858733E012278EC04824F4CCB92A1DFCAE48FFFC0D3Dh24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13013</Words>
  <Characters>74176</Characters>
  <Application>Microsoft Office Word</Application>
  <DocSecurity>0</DocSecurity>
  <Lines>618</Lines>
  <Paragraphs>174</Paragraphs>
  <ScaleCrop>false</ScaleCrop>
  <Company/>
  <LinksUpToDate>false</LinksUpToDate>
  <CharactersWithSpaces>87015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Шоранова</dc:creator>
  <cp:lastModifiedBy>Шоранова</cp:lastModifiedBy>
  <cp:revision>1</cp:revision>
  <dcterms:created xsi:type="dcterms:W3CDTF">2016-06-14T05:56:00Z</dcterms:created>
  <dcterms:modified xsi:type="dcterms:W3CDTF">2016-06-14T05:57:00Z</dcterms:modified>
</cp:coreProperties>
</file>